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7A" w:rsidRPr="008F6838" w:rsidRDefault="00CB438F" w:rsidP="0098311D">
      <w:pPr>
        <w:spacing w:line="240" w:lineRule="auto"/>
        <w:ind w:right="424"/>
        <w:jc w:val="center"/>
        <w:rPr>
          <w:rFonts w:ascii="PT Astra Serif" w:hAnsi="PT Astra Serif"/>
          <w:b/>
          <w:sz w:val="28"/>
          <w:szCs w:val="28"/>
        </w:rPr>
      </w:pPr>
      <w:r w:rsidRPr="008F6838">
        <w:rPr>
          <w:rFonts w:ascii="PT Astra Serif" w:hAnsi="PT Astra Serif"/>
          <w:sz w:val="28"/>
          <w:szCs w:val="28"/>
        </w:rPr>
        <w:t>АДМИНИСТРАЦИЯ</w:t>
      </w:r>
      <w:r w:rsidR="00504012" w:rsidRPr="008F6838">
        <w:rPr>
          <w:rFonts w:ascii="PT Astra Serif" w:hAnsi="PT Astra Serif"/>
          <w:sz w:val="28"/>
          <w:szCs w:val="28"/>
        </w:rPr>
        <w:br/>
        <w:t>МУНИЦИПАЛЬНОЕ ОБРАЗОВАНИЕ</w:t>
      </w:r>
      <w:r w:rsidR="00504012" w:rsidRPr="008F6838">
        <w:rPr>
          <w:rFonts w:ascii="PT Astra Serif" w:hAnsi="PT Astra Serif"/>
          <w:sz w:val="28"/>
          <w:szCs w:val="28"/>
        </w:rPr>
        <w:br/>
      </w:r>
      <w:r w:rsidRPr="008F6838">
        <w:rPr>
          <w:rFonts w:ascii="PT Astra Serif" w:hAnsi="PT Astra Serif"/>
          <w:sz w:val="28"/>
          <w:szCs w:val="28"/>
        </w:rPr>
        <w:t xml:space="preserve">ГОРОД ЛИПКИ </w:t>
      </w:r>
      <w:r w:rsidR="00504012" w:rsidRPr="008F6838">
        <w:rPr>
          <w:rFonts w:ascii="PT Astra Serif" w:hAnsi="PT Astra Serif"/>
          <w:sz w:val="28"/>
          <w:szCs w:val="28"/>
        </w:rPr>
        <w:t>КИРЕЕВСКОГО РАЙОНА</w:t>
      </w:r>
      <w:r w:rsidR="00504012" w:rsidRPr="008F6838">
        <w:rPr>
          <w:rFonts w:ascii="PT Astra Serif" w:hAnsi="PT Astra Serif"/>
          <w:sz w:val="28"/>
          <w:szCs w:val="28"/>
        </w:rPr>
        <w:br/>
      </w:r>
      <w:r w:rsidR="00917DDB">
        <w:rPr>
          <w:rFonts w:ascii="PT Astra Serif" w:hAnsi="PT Astra Serif"/>
          <w:b/>
          <w:sz w:val="28"/>
          <w:szCs w:val="28"/>
        </w:rPr>
        <w:br/>
        <w:t>ПОСТАНОВЛЕНИЕ</w:t>
      </w:r>
    </w:p>
    <w:p w:rsidR="00504012" w:rsidRPr="008F6838" w:rsidRDefault="00504012" w:rsidP="00504012">
      <w:pPr>
        <w:jc w:val="center"/>
        <w:rPr>
          <w:rFonts w:ascii="PT Astra Serif" w:hAnsi="PT Astra Serif"/>
          <w:b/>
          <w:sz w:val="28"/>
          <w:szCs w:val="28"/>
        </w:rPr>
      </w:pPr>
    </w:p>
    <w:p w:rsidR="00F331AA" w:rsidRPr="008F6838" w:rsidRDefault="00C06B13" w:rsidP="00CB438F">
      <w:pPr>
        <w:jc w:val="center"/>
        <w:rPr>
          <w:rFonts w:ascii="PT Astra Serif" w:hAnsi="PT Astra Serif"/>
          <w:sz w:val="28"/>
          <w:szCs w:val="28"/>
        </w:rPr>
      </w:pPr>
      <w:r>
        <w:rPr>
          <w:rFonts w:ascii="PT Astra Serif" w:hAnsi="PT Astra Serif"/>
          <w:sz w:val="28"/>
          <w:szCs w:val="28"/>
        </w:rPr>
        <w:t xml:space="preserve">18 декабря 2024 </w:t>
      </w:r>
      <w:r w:rsidR="00EF78A4">
        <w:rPr>
          <w:rFonts w:ascii="PT Astra Serif" w:hAnsi="PT Astra Serif"/>
          <w:sz w:val="28"/>
          <w:szCs w:val="28"/>
        </w:rPr>
        <w:t>года</w:t>
      </w:r>
      <w:r w:rsidR="00504012" w:rsidRPr="008F6838">
        <w:rPr>
          <w:rFonts w:ascii="PT Astra Serif" w:hAnsi="PT Astra Serif"/>
          <w:sz w:val="28"/>
          <w:szCs w:val="28"/>
        </w:rPr>
        <w:t xml:space="preserve">                           </w:t>
      </w:r>
      <w:r w:rsidR="00CB5800" w:rsidRPr="008F6838">
        <w:rPr>
          <w:rFonts w:ascii="PT Astra Serif" w:hAnsi="PT Astra Serif"/>
          <w:sz w:val="28"/>
          <w:szCs w:val="28"/>
        </w:rPr>
        <w:t xml:space="preserve"> </w:t>
      </w:r>
      <w:r w:rsidR="004B6D67" w:rsidRPr="008F6838">
        <w:rPr>
          <w:rFonts w:ascii="PT Astra Serif" w:hAnsi="PT Astra Serif"/>
          <w:sz w:val="28"/>
          <w:szCs w:val="28"/>
        </w:rPr>
        <w:t xml:space="preserve">     </w:t>
      </w:r>
      <w:r w:rsidR="00BA6A56" w:rsidRPr="008F6838">
        <w:rPr>
          <w:rFonts w:ascii="PT Astra Serif" w:hAnsi="PT Astra Serif"/>
          <w:sz w:val="28"/>
          <w:szCs w:val="28"/>
        </w:rPr>
        <w:t xml:space="preserve">         </w:t>
      </w:r>
      <w:r w:rsidR="004B6D67" w:rsidRPr="008F6838">
        <w:rPr>
          <w:rFonts w:ascii="PT Astra Serif" w:hAnsi="PT Astra Serif"/>
          <w:sz w:val="28"/>
          <w:szCs w:val="28"/>
        </w:rPr>
        <w:t xml:space="preserve">       </w:t>
      </w:r>
      <w:r w:rsidR="00F331AA" w:rsidRPr="008F6838">
        <w:rPr>
          <w:rFonts w:ascii="PT Astra Serif" w:hAnsi="PT Astra Serif"/>
          <w:sz w:val="28"/>
          <w:szCs w:val="28"/>
        </w:rPr>
        <w:t xml:space="preserve">      </w:t>
      </w:r>
      <w:r w:rsidR="0098311D" w:rsidRPr="008F6838">
        <w:rPr>
          <w:rFonts w:ascii="PT Astra Serif" w:hAnsi="PT Astra Serif"/>
          <w:sz w:val="28"/>
          <w:szCs w:val="28"/>
        </w:rPr>
        <w:t xml:space="preserve">      </w:t>
      </w:r>
      <w:r w:rsidR="0080172C" w:rsidRPr="008F6838">
        <w:rPr>
          <w:rFonts w:ascii="PT Astra Serif" w:hAnsi="PT Astra Serif"/>
          <w:sz w:val="28"/>
          <w:szCs w:val="28"/>
        </w:rPr>
        <w:t xml:space="preserve">   </w:t>
      </w:r>
      <w:r w:rsidR="00196EF0" w:rsidRPr="008F6838">
        <w:rPr>
          <w:rFonts w:ascii="PT Astra Serif" w:hAnsi="PT Astra Serif"/>
          <w:sz w:val="28"/>
          <w:szCs w:val="28"/>
        </w:rPr>
        <w:t xml:space="preserve">  </w:t>
      </w:r>
      <w:r w:rsidR="00EF78A4">
        <w:rPr>
          <w:rFonts w:ascii="PT Astra Serif" w:hAnsi="PT Astra Serif"/>
          <w:sz w:val="28"/>
          <w:szCs w:val="28"/>
        </w:rPr>
        <w:t>№</w:t>
      </w:r>
      <w:r>
        <w:rPr>
          <w:rFonts w:ascii="PT Astra Serif" w:hAnsi="PT Astra Serif"/>
          <w:sz w:val="28"/>
          <w:szCs w:val="28"/>
        </w:rPr>
        <w:t xml:space="preserve"> 154</w:t>
      </w:r>
    </w:p>
    <w:p w:rsidR="00504012" w:rsidRDefault="00504012" w:rsidP="00C6257A">
      <w:pPr>
        <w:rPr>
          <w:rFonts w:ascii="PT Astra Serif" w:hAnsi="PT Astra Serif"/>
          <w:b/>
          <w:sz w:val="28"/>
          <w:szCs w:val="28"/>
        </w:rPr>
      </w:pPr>
    </w:p>
    <w:p w:rsidR="00BA127B" w:rsidRPr="001E2E29" w:rsidRDefault="00BA127B" w:rsidP="001B6753">
      <w:pPr>
        <w:spacing w:after="0" w:line="240" w:lineRule="auto"/>
        <w:ind w:firstLine="709"/>
        <w:contextualSpacing/>
        <w:jc w:val="center"/>
        <w:rPr>
          <w:rFonts w:ascii="PT Astra Serif" w:hAnsi="PT Astra Serif"/>
          <w:b/>
          <w:sz w:val="28"/>
          <w:szCs w:val="28"/>
        </w:rPr>
      </w:pPr>
      <w:r w:rsidRPr="001E2E29">
        <w:rPr>
          <w:rFonts w:ascii="PT Astra Serif" w:hAnsi="PT Astra Serif"/>
          <w:b/>
          <w:sz w:val="28"/>
          <w:szCs w:val="28"/>
        </w:rPr>
        <w:t>О</w:t>
      </w:r>
      <w:r w:rsidR="00917DDB">
        <w:rPr>
          <w:rFonts w:ascii="PT Astra Serif" w:hAnsi="PT Astra Serif"/>
          <w:b/>
          <w:sz w:val="28"/>
          <w:szCs w:val="28"/>
        </w:rPr>
        <w:t>б</w:t>
      </w:r>
      <w:r w:rsidR="00917DDB" w:rsidRPr="001E2E29">
        <w:rPr>
          <w:rFonts w:ascii="PT Astra Serif" w:hAnsi="PT Astra Serif"/>
          <w:b/>
          <w:sz w:val="28"/>
          <w:szCs w:val="28"/>
        </w:rPr>
        <w:t xml:space="preserve"> </w:t>
      </w:r>
      <w:r w:rsidR="00917DDB">
        <w:rPr>
          <w:rFonts w:ascii="PT Astra Serif" w:hAnsi="PT Astra Serif"/>
          <w:b/>
          <w:sz w:val="28"/>
          <w:szCs w:val="28"/>
        </w:rPr>
        <w:t>утверждении положения о К</w:t>
      </w:r>
      <w:r w:rsidR="00917DDB" w:rsidRPr="001E2E29">
        <w:rPr>
          <w:rFonts w:ascii="PT Astra Serif" w:hAnsi="PT Astra Serif"/>
          <w:b/>
          <w:sz w:val="28"/>
          <w:szCs w:val="28"/>
        </w:rPr>
        <w:t xml:space="preserve">омиссии по поступлению и выбытию активов </w:t>
      </w:r>
      <w:r w:rsidRPr="001E2E29">
        <w:rPr>
          <w:rFonts w:ascii="PT Astra Serif" w:hAnsi="PT Astra Serif"/>
          <w:b/>
          <w:sz w:val="28"/>
          <w:szCs w:val="28"/>
        </w:rPr>
        <w:t>создании комиссии по поступлению и выбытию активов.</w:t>
      </w:r>
    </w:p>
    <w:p w:rsidR="00BA127B" w:rsidRPr="001E2E29" w:rsidRDefault="00BA127B" w:rsidP="00603238">
      <w:pPr>
        <w:spacing w:after="0" w:line="240" w:lineRule="auto"/>
        <w:ind w:firstLine="709"/>
        <w:contextualSpacing/>
        <w:jc w:val="both"/>
        <w:rPr>
          <w:rFonts w:ascii="PT Astra Serif" w:hAnsi="PT Astra Serif"/>
          <w:sz w:val="28"/>
          <w:szCs w:val="28"/>
        </w:rPr>
      </w:pPr>
    </w:p>
    <w:p w:rsidR="00F331AA" w:rsidRPr="00603238" w:rsidRDefault="0091065E" w:rsidP="00603238">
      <w:pPr>
        <w:spacing w:after="0" w:line="240" w:lineRule="auto"/>
        <w:ind w:firstLine="709"/>
        <w:contextualSpacing/>
        <w:jc w:val="both"/>
        <w:rPr>
          <w:rFonts w:ascii="PT Astra Serif" w:hAnsi="PT Astra Serif"/>
          <w:sz w:val="28"/>
          <w:szCs w:val="28"/>
        </w:rPr>
      </w:pPr>
      <w:r w:rsidRPr="00BA127B">
        <w:rPr>
          <w:rFonts w:ascii="Times New Roman" w:hAnsi="Times New Roman"/>
          <w:sz w:val="28"/>
          <w:szCs w:val="28"/>
        </w:rPr>
        <w:t>В</w:t>
      </w:r>
      <w:r w:rsidR="00603238">
        <w:rPr>
          <w:rFonts w:ascii="PT Astra Serif" w:hAnsi="PT Astra Serif"/>
          <w:sz w:val="28"/>
          <w:szCs w:val="28"/>
        </w:rPr>
        <w:t xml:space="preserve"> соответствии </w:t>
      </w:r>
      <w:r w:rsidR="00BA127B">
        <w:rPr>
          <w:rFonts w:ascii="PT Astra Serif" w:hAnsi="PT Astra Serif"/>
          <w:sz w:val="28"/>
          <w:szCs w:val="28"/>
        </w:rPr>
        <w:t>с Инструкцией по применению единого плана счетов бухгалтерского учета для органов государственной власти</w:t>
      </w:r>
      <w:r w:rsidR="00125732">
        <w:rPr>
          <w:rFonts w:ascii="PT Astra Serif" w:hAnsi="PT Astra Serif"/>
          <w:sz w:val="28"/>
          <w:szCs w:val="28"/>
        </w:rPr>
        <w:t xml:space="preserve"> </w:t>
      </w:r>
      <w:r w:rsidR="00BA127B">
        <w:rPr>
          <w:rFonts w:ascii="PT Astra Serif" w:hAnsi="PT Astra Serif"/>
          <w:sz w:val="28"/>
          <w:szCs w:val="28"/>
        </w:rPr>
        <w:t>(государственных органов), органов местного самоуправ</w:t>
      </w:r>
      <w:r w:rsidR="00125732">
        <w:rPr>
          <w:rFonts w:ascii="PT Astra Serif" w:hAnsi="PT Astra Serif"/>
          <w:sz w:val="28"/>
          <w:szCs w:val="28"/>
        </w:rPr>
        <w:t>ления</w:t>
      </w:r>
      <w:r w:rsidR="00BA127B">
        <w:rPr>
          <w:rFonts w:ascii="PT Astra Serif" w:hAnsi="PT Astra Serif"/>
          <w:sz w:val="28"/>
          <w:szCs w:val="28"/>
        </w:rPr>
        <w:t>, государственных (муниципальных) учреждений, утвержденной приказом Минфина России от 01.12.2010 №157н, в целях организации работы по принятию в бухгалтерский учет и выбытию материальных ценностей в учреждении</w:t>
      </w:r>
      <w:r w:rsidR="001B6753">
        <w:rPr>
          <w:rFonts w:ascii="PT Astra Serif" w:hAnsi="PT Astra Serif"/>
          <w:sz w:val="28"/>
          <w:szCs w:val="28"/>
        </w:rPr>
        <w:t>, на основании Устава</w:t>
      </w:r>
      <w:r w:rsidR="00AE775D">
        <w:rPr>
          <w:rFonts w:ascii="PT Astra Serif" w:hAnsi="PT Astra Serif"/>
          <w:sz w:val="28"/>
          <w:szCs w:val="28"/>
        </w:rPr>
        <w:t xml:space="preserve"> муниципального образования город Липки Киреевского района, администрация муниципального образования город Липки Киреевского района</w:t>
      </w:r>
      <w:r w:rsidR="009E709F">
        <w:rPr>
          <w:rFonts w:ascii="PT Astra Serif" w:hAnsi="PT Astra Serif"/>
          <w:sz w:val="28"/>
          <w:szCs w:val="28"/>
        </w:rPr>
        <w:t xml:space="preserve"> ПОСТАНОВЛЯЕТ</w:t>
      </w:r>
      <w:r w:rsidR="008970D4" w:rsidRPr="00603238">
        <w:rPr>
          <w:rFonts w:ascii="PT Astra Serif" w:hAnsi="PT Astra Serif"/>
          <w:sz w:val="28"/>
          <w:szCs w:val="28"/>
        </w:rPr>
        <w:t>:</w:t>
      </w:r>
    </w:p>
    <w:p w:rsidR="00917DDB" w:rsidRPr="00917DDB" w:rsidRDefault="001B6753" w:rsidP="001B6753">
      <w:pPr>
        <w:pStyle w:val="a3"/>
        <w:spacing w:after="0" w:line="240" w:lineRule="auto"/>
        <w:ind w:left="0" w:firstLine="708"/>
        <w:jc w:val="both"/>
        <w:rPr>
          <w:rFonts w:ascii="PT Astra Serif" w:hAnsi="PT Astra Serif"/>
          <w:sz w:val="28"/>
          <w:szCs w:val="28"/>
        </w:rPr>
      </w:pPr>
      <w:r>
        <w:rPr>
          <w:rFonts w:ascii="PT Astra Serif" w:hAnsi="PT Astra Serif"/>
          <w:sz w:val="28"/>
          <w:szCs w:val="28"/>
        </w:rPr>
        <w:t>1.</w:t>
      </w:r>
      <w:r w:rsidR="00917DDB" w:rsidRPr="00917DDB">
        <w:rPr>
          <w:rFonts w:ascii="PT Astra Serif" w:hAnsi="PT Astra Serif"/>
          <w:sz w:val="28"/>
          <w:szCs w:val="28"/>
        </w:rPr>
        <w:t>Утвердить Положение о Ко</w:t>
      </w:r>
      <w:r w:rsidR="00917DDB">
        <w:rPr>
          <w:rFonts w:ascii="PT Astra Serif" w:hAnsi="PT Astra Serif"/>
          <w:sz w:val="28"/>
          <w:szCs w:val="28"/>
        </w:rPr>
        <w:t xml:space="preserve">миссии по поступлению и выбытию </w:t>
      </w:r>
      <w:r w:rsidR="00917DDB" w:rsidRPr="00917DDB">
        <w:rPr>
          <w:rFonts w:ascii="PT Astra Serif" w:hAnsi="PT Astra Serif"/>
          <w:sz w:val="28"/>
          <w:szCs w:val="28"/>
        </w:rPr>
        <w:t>а</w:t>
      </w:r>
      <w:r w:rsidR="00E65057">
        <w:rPr>
          <w:rFonts w:ascii="PT Astra Serif" w:hAnsi="PT Astra Serif"/>
          <w:sz w:val="28"/>
          <w:szCs w:val="28"/>
        </w:rPr>
        <w:t>ктивов (</w:t>
      </w:r>
      <w:proofErr w:type="spellStart"/>
      <w:r w:rsidR="009E709F">
        <w:rPr>
          <w:rFonts w:ascii="PT Astra Serif" w:hAnsi="PT Astra Serif"/>
          <w:sz w:val="28"/>
          <w:szCs w:val="28"/>
        </w:rPr>
        <w:t>Прилождение</w:t>
      </w:r>
      <w:proofErr w:type="spellEnd"/>
      <w:r w:rsidR="009E709F">
        <w:rPr>
          <w:rFonts w:ascii="PT Astra Serif" w:hAnsi="PT Astra Serif"/>
          <w:sz w:val="28"/>
          <w:szCs w:val="28"/>
        </w:rPr>
        <w:t>)</w:t>
      </w:r>
      <w:r w:rsidR="009E709F" w:rsidRPr="00917DDB">
        <w:rPr>
          <w:rFonts w:ascii="PT Astra Serif" w:hAnsi="PT Astra Serif"/>
          <w:sz w:val="28"/>
          <w:szCs w:val="28"/>
        </w:rPr>
        <w:t>.</w:t>
      </w:r>
    </w:p>
    <w:p w:rsidR="00B5187E" w:rsidRPr="00B5187E" w:rsidRDefault="00E65057" w:rsidP="00603238">
      <w:pPr>
        <w:pStyle w:val="a3"/>
        <w:spacing w:after="0" w:line="240" w:lineRule="auto"/>
        <w:ind w:left="0" w:firstLine="709"/>
        <w:jc w:val="both"/>
        <w:rPr>
          <w:rFonts w:ascii="PT Astra Serif" w:hAnsi="PT Astra Serif"/>
          <w:sz w:val="28"/>
          <w:szCs w:val="28"/>
        </w:rPr>
      </w:pPr>
      <w:r>
        <w:rPr>
          <w:rFonts w:ascii="PT Astra Serif" w:hAnsi="PT Astra Serif"/>
          <w:sz w:val="28"/>
          <w:szCs w:val="28"/>
        </w:rPr>
        <w:t>2</w:t>
      </w:r>
      <w:r w:rsidR="00B5187E">
        <w:rPr>
          <w:rFonts w:ascii="PT Astra Serif" w:hAnsi="PT Astra Serif"/>
          <w:sz w:val="28"/>
          <w:szCs w:val="28"/>
        </w:rPr>
        <w:t xml:space="preserve">. </w:t>
      </w:r>
      <w:r w:rsidR="00917DDB" w:rsidRPr="00E8648F">
        <w:rPr>
          <w:rFonts w:ascii="PT Astra Serif" w:hAnsi="PT Astra Serif"/>
          <w:sz w:val="28"/>
          <w:szCs w:val="28"/>
        </w:rPr>
        <w:t xml:space="preserve">Опубликовать настоящее постановление в </w:t>
      </w:r>
      <w:r w:rsidR="00917DDB">
        <w:rPr>
          <w:rFonts w:ascii="PT Astra Serif" w:hAnsi="PT Astra Serif"/>
          <w:sz w:val="28"/>
          <w:szCs w:val="28"/>
        </w:rPr>
        <w:t xml:space="preserve">муниципальной </w:t>
      </w:r>
      <w:r w:rsidR="00917DDB" w:rsidRPr="00E8648F">
        <w:rPr>
          <w:rFonts w:ascii="PT Astra Serif" w:hAnsi="PT Astra Serif"/>
          <w:sz w:val="28"/>
          <w:szCs w:val="28"/>
        </w:rPr>
        <w:t>газете «</w:t>
      </w:r>
      <w:proofErr w:type="spellStart"/>
      <w:r w:rsidR="00917DDB" w:rsidRPr="00E8648F">
        <w:rPr>
          <w:rFonts w:ascii="PT Astra Serif" w:hAnsi="PT Astra Serif"/>
          <w:sz w:val="28"/>
          <w:szCs w:val="28"/>
        </w:rPr>
        <w:t>Липковские</w:t>
      </w:r>
      <w:proofErr w:type="spellEnd"/>
      <w:r w:rsidR="00917DDB" w:rsidRPr="00E8648F">
        <w:rPr>
          <w:rFonts w:ascii="PT Astra Serif" w:hAnsi="PT Astra Serif"/>
          <w:sz w:val="28"/>
          <w:szCs w:val="28"/>
        </w:rPr>
        <w:t xml:space="preserve"> вести» и разместить на официальном сайте администрации муниципального образования Киреевский район (www.kireevsk.</w:t>
      </w:r>
      <w:r w:rsidR="00917DDB" w:rsidRPr="00FF4A5E">
        <w:t xml:space="preserve"> </w:t>
      </w:r>
      <w:r w:rsidR="00917DDB" w:rsidRPr="00FF4A5E">
        <w:rPr>
          <w:rFonts w:ascii="PT Astra Serif" w:hAnsi="PT Astra Serif"/>
          <w:sz w:val="28"/>
          <w:szCs w:val="28"/>
        </w:rPr>
        <w:t>https://kireevsk.gosuslugi</w:t>
      </w:r>
      <w:r w:rsidR="00917DDB" w:rsidRPr="00E8648F">
        <w:rPr>
          <w:rFonts w:ascii="PT Astra Serif" w:hAnsi="PT Astra Serif"/>
          <w:sz w:val="28"/>
          <w:szCs w:val="28"/>
        </w:rPr>
        <w:t>.ru.) в подразделе администрация муниципального образования город Липки Киреевского района</w:t>
      </w:r>
    </w:p>
    <w:p w:rsidR="009B1FE6" w:rsidRPr="008F6838" w:rsidRDefault="00BA127B" w:rsidP="00603238">
      <w:pPr>
        <w:spacing w:after="0" w:line="240" w:lineRule="auto"/>
        <w:ind w:firstLine="709"/>
        <w:contextualSpacing/>
        <w:jc w:val="both"/>
        <w:rPr>
          <w:rFonts w:ascii="PT Astra Serif" w:hAnsi="PT Astra Serif"/>
          <w:sz w:val="28"/>
          <w:szCs w:val="28"/>
        </w:rPr>
      </w:pPr>
      <w:r>
        <w:rPr>
          <w:rFonts w:ascii="PT Astra Serif" w:hAnsi="PT Astra Serif"/>
          <w:sz w:val="28"/>
          <w:szCs w:val="28"/>
        </w:rPr>
        <w:t>4</w:t>
      </w:r>
      <w:r w:rsidR="0080172C" w:rsidRPr="008F6838">
        <w:rPr>
          <w:rFonts w:ascii="PT Astra Serif" w:hAnsi="PT Astra Serif"/>
          <w:sz w:val="28"/>
          <w:szCs w:val="28"/>
        </w:rPr>
        <w:t xml:space="preserve">. </w:t>
      </w:r>
      <w:r w:rsidR="00C2361E" w:rsidRPr="008F6838">
        <w:rPr>
          <w:rFonts w:ascii="PT Astra Serif" w:hAnsi="PT Astra Serif"/>
          <w:sz w:val="28"/>
          <w:szCs w:val="28"/>
        </w:rPr>
        <w:t>Настоящее</w:t>
      </w:r>
      <w:r w:rsidR="003D7F32" w:rsidRPr="008F6838">
        <w:rPr>
          <w:rFonts w:ascii="PT Astra Serif" w:hAnsi="PT Astra Serif"/>
          <w:sz w:val="28"/>
          <w:szCs w:val="28"/>
        </w:rPr>
        <w:t xml:space="preserve"> </w:t>
      </w:r>
      <w:r w:rsidR="009D0F42" w:rsidRPr="008F6838">
        <w:rPr>
          <w:rFonts w:ascii="PT Astra Serif" w:hAnsi="PT Astra Serif"/>
          <w:sz w:val="28"/>
          <w:szCs w:val="28"/>
        </w:rPr>
        <w:t>распоряжение</w:t>
      </w:r>
      <w:r w:rsidR="003D7F32" w:rsidRPr="008F6838">
        <w:rPr>
          <w:rFonts w:ascii="PT Astra Serif" w:hAnsi="PT Astra Serif"/>
          <w:sz w:val="28"/>
          <w:szCs w:val="28"/>
        </w:rPr>
        <w:t xml:space="preserve"> вступает в силу </w:t>
      </w:r>
      <w:r w:rsidR="004E26B9" w:rsidRPr="008F6838">
        <w:rPr>
          <w:rFonts w:ascii="PT Astra Serif" w:hAnsi="PT Astra Serif"/>
          <w:sz w:val="28"/>
          <w:szCs w:val="28"/>
        </w:rPr>
        <w:t>со дня</w:t>
      </w:r>
      <w:r w:rsidR="00917DDB">
        <w:rPr>
          <w:rFonts w:ascii="PT Astra Serif" w:hAnsi="PT Astra Serif"/>
          <w:sz w:val="28"/>
          <w:szCs w:val="28"/>
        </w:rPr>
        <w:t xml:space="preserve"> опубликования.</w:t>
      </w:r>
    </w:p>
    <w:p w:rsidR="00BA127B" w:rsidRDefault="00BA127B" w:rsidP="00E15CBB">
      <w:pPr>
        <w:pStyle w:val="a3"/>
        <w:spacing w:after="0" w:line="240" w:lineRule="auto"/>
        <w:ind w:left="0"/>
        <w:jc w:val="both"/>
        <w:rPr>
          <w:rFonts w:ascii="PT Astra Serif" w:hAnsi="PT Astra Serif"/>
          <w:sz w:val="28"/>
          <w:szCs w:val="28"/>
        </w:rPr>
      </w:pPr>
    </w:p>
    <w:p w:rsidR="001B6753" w:rsidRDefault="001B6753" w:rsidP="00E15CBB">
      <w:pPr>
        <w:pStyle w:val="a3"/>
        <w:spacing w:after="0" w:line="240" w:lineRule="auto"/>
        <w:ind w:left="0"/>
        <w:jc w:val="both"/>
        <w:rPr>
          <w:rFonts w:ascii="PT Astra Serif" w:hAnsi="PT Astra Serif"/>
          <w:sz w:val="28"/>
          <w:szCs w:val="28"/>
        </w:rPr>
      </w:pPr>
    </w:p>
    <w:p w:rsidR="001B6753" w:rsidRPr="008F6838" w:rsidRDefault="001B6753" w:rsidP="00E15CBB">
      <w:pPr>
        <w:pStyle w:val="a3"/>
        <w:spacing w:after="0" w:line="240" w:lineRule="auto"/>
        <w:ind w:left="0"/>
        <w:jc w:val="both"/>
        <w:rPr>
          <w:rFonts w:ascii="PT Astra Serif" w:hAnsi="PT Astra Serif"/>
          <w:sz w:val="28"/>
          <w:szCs w:val="28"/>
        </w:rPr>
      </w:pPr>
    </w:p>
    <w:p w:rsidR="004E1D23" w:rsidRPr="008F6838" w:rsidRDefault="00E75BC4" w:rsidP="004B40C1">
      <w:pPr>
        <w:pStyle w:val="a3"/>
        <w:spacing w:after="0" w:line="240" w:lineRule="auto"/>
        <w:ind w:left="0"/>
        <w:rPr>
          <w:rFonts w:ascii="PT Astra Serif" w:hAnsi="PT Astra Serif"/>
          <w:b/>
          <w:sz w:val="28"/>
          <w:szCs w:val="28"/>
        </w:rPr>
      </w:pPr>
      <w:r>
        <w:rPr>
          <w:rFonts w:ascii="PT Astra Serif" w:hAnsi="PT Astra Serif"/>
          <w:b/>
          <w:sz w:val="28"/>
          <w:szCs w:val="28"/>
        </w:rPr>
        <w:t xml:space="preserve">            </w:t>
      </w:r>
      <w:r w:rsidR="009D11EF">
        <w:rPr>
          <w:rFonts w:ascii="PT Astra Serif" w:hAnsi="PT Astra Serif"/>
          <w:b/>
          <w:sz w:val="28"/>
          <w:szCs w:val="28"/>
        </w:rPr>
        <w:t>Г</w:t>
      </w:r>
      <w:r w:rsidR="00852C75" w:rsidRPr="008F6838">
        <w:rPr>
          <w:rFonts w:ascii="PT Astra Serif" w:hAnsi="PT Astra Serif"/>
          <w:b/>
          <w:sz w:val="28"/>
          <w:szCs w:val="28"/>
        </w:rPr>
        <w:t>лав</w:t>
      </w:r>
      <w:r w:rsidR="009D11EF">
        <w:rPr>
          <w:rFonts w:ascii="PT Astra Serif" w:hAnsi="PT Astra Serif"/>
          <w:b/>
          <w:sz w:val="28"/>
          <w:szCs w:val="28"/>
        </w:rPr>
        <w:t>а</w:t>
      </w:r>
      <w:r w:rsidR="003617B8" w:rsidRPr="008F6838">
        <w:rPr>
          <w:rFonts w:ascii="PT Astra Serif" w:hAnsi="PT Astra Serif"/>
          <w:b/>
          <w:sz w:val="28"/>
          <w:szCs w:val="28"/>
        </w:rPr>
        <w:t xml:space="preserve"> администрации</w:t>
      </w:r>
    </w:p>
    <w:p w:rsidR="004A2AC0" w:rsidRPr="008F6838" w:rsidRDefault="004A2AC0" w:rsidP="00E15CBB">
      <w:pPr>
        <w:pStyle w:val="a3"/>
        <w:spacing w:after="0" w:line="240" w:lineRule="auto"/>
        <w:ind w:left="0"/>
        <w:jc w:val="both"/>
        <w:rPr>
          <w:rFonts w:ascii="PT Astra Serif" w:hAnsi="PT Astra Serif"/>
          <w:b/>
          <w:sz w:val="28"/>
          <w:szCs w:val="28"/>
        </w:rPr>
      </w:pPr>
      <w:r w:rsidRPr="008F6838">
        <w:rPr>
          <w:rFonts w:ascii="PT Astra Serif" w:hAnsi="PT Astra Serif"/>
          <w:b/>
          <w:sz w:val="28"/>
          <w:szCs w:val="28"/>
        </w:rPr>
        <w:t xml:space="preserve"> </w:t>
      </w:r>
      <w:r w:rsidR="009B1FE6">
        <w:rPr>
          <w:rFonts w:ascii="PT Astra Serif" w:hAnsi="PT Astra Serif"/>
          <w:b/>
          <w:sz w:val="28"/>
          <w:szCs w:val="28"/>
        </w:rPr>
        <w:t xml:space="preserve">   </w:t>
      </w:r>
      <w:r w:rsidRPr="008F6838">
        <w:rPr>
          <w:rFonts w:ascii="PT Astra Serif" w:hAnsi="PT Astra Serif"/>
          <w:b/>
          <w:sz w:val="28"/>
          <w:szCs w:val="28"/>
        </w:rPr>
        <w:t xml:space="preserve"> муниципального </w:t>
      </w:r>
      <w:r w:rsidR="009D0F42" w:rsidRPr="008F6838">
        <w:rPr>
          <w:rFonts w:ascii="PT Astra Serif" w:hAnsi="PT Astra Serif"/>
          <w:b/>
          <w:sz w:val="28"/>
          <w:szCs w:val="28"/>
        </w:rPr>
        <w:t xml:space="preserve">образования </w:t>
      </w:r>
    </w:p>
    <w:p w:rsidR="00A866B8" w:rsidRDefault="009B1FE6" w:rsidP="00E15CBB">
      <w:pPr>
        <w:pStyle w:val="a3"/>
        <w:spacing w:after="0" w:line="240" w:lineRule="auto"/>
        <w:ind w:left="0"/>
        <w:jc w:val="both"/>
        <w:rPr>
          <w:rFonts w:ascii="PT Astra Serif" w:hAnsi="PT Astra Serif"/>
          <w:b/>
          <w:sz w:val="28"/>
          <w:szCs w:val="28"/>
        </w:rPr>
      </w:pPr>
      <w:r>
        <w:rPr>
          <w:rFonts w:ascii="PT Astra Serif" w:hAnsi="PT Astra Serif"/>
          <w:b/>
          <w:sz w:val="28"/>
          <w:szCs w:val="28"/>
        </w:rPr>
        <w:t xml:space="preserve"> </w:t>
      </w:r>
      <w:r w:rsidR="00CB438F" w:rsidRPr="008F6838">
        <w:rPr>
          <w:rFonts w:ascii="PT Astra Serif" w:hAnsi="PT Astra Serif"/>
          <w:b/>
          <w:sz w:val="28"/>
          <w:szCs w:val="28"/>
        </w:rPr>
        <w:t>город Липки</w:t>
      </w:r>
      <w:r w:rsidR="004A2AC0" w:rsidRPr="008F6838">
        <w:rPr>
          <w:rFonts w:ascii="PT Astra Serif" w:hAnsi="PT Astra Serif"/>
          <w:b/>
          <w:sz w:val="28"/>
          <w:szCs w:val="28"/>
        </w:rPr>
        <w:t xml:space="preserve"> Киреевского района</w:t>
      </w:r>
      <w:r w:rsidR="009D0F42" w:rsidRPr="008F6838">
        <w:rPr>
          <w:rFonts w:ascii="PT Astra Serif" w:hAnsi="PT Astra Serif"/>
          <w:b/>
          <w:sz w:val="28"/>
          <w:szCs w:val="28"/>
        </w:rPr>
        <w:t xml:space="preserve">              </w:t>
      </w:r>
      <w:r w:rsidR="00801F6E">
        <w:rPr>
          <w:rFonts w:ascii="PT Astra Serif" w:hAnsi="PT Astra Serif"/>
          <w:b/>
          <w:sz w:val="28"/>
          <w:szCs w:val="28"/>
        </w:rPr>
        <w:t xml:space="preserve">                   </w:t>
      </w:r>
      <w:r w:rsidR="009D11EF">
        <w:rPr>
          <w:rFonts w:ascii="PT Astra Serif" w:hAnsi="PT Astra Serif"/>
          <w:b/>
          <w:sz w:val="28"/>
          <w:szCs w:val="28"/>
        </w:rPr>
        <w:t>И.</w:t>
      </w:r>
      <w:r w:rsidR="00E75BC4">
        <w:rPr>
          <w:rFonts w:ascii="PT Astra Serif" w:hAnsi="PT Astra Serif"/>
          <w:b/>
          <w:sz w:val="28"/>
          <w:szCs w:val="28"/>
        </w:rPr>
        <w:t xml:space="preserve"> </w:t>
      </w:r>
      <w:r w:rsidR="009D11EF">
        <w:rPr>
          <w:rFonts w:ascii="PT Astra Serif" w:hAnsi="PT Astra Serif"/>
          <w:b/>
          <w:sz w:val="28"/>
          <w:szCs w:val="28"/>
        </w:rPr>
        <w:t>Н.</w:t>
      </w:r>
      <w:r w:rsidR="00E75BC4">
        <w:rPr>
          <w:rFonts w:ascii="PT Astra Serif" w:hAnsi="PT Astra Serif"/>
          <w:b/>
          <w:sz w:val="28"/>
          <w:szCs w:val="28"/>
        </w:rPr>
        <w:t xml:space="preserve"> </w:t>
      </w:r>
      <w:r w:rsidR="009D11EF">
        <w:rPr>
          <w:rFonts w:ascii="PT Astra Serif" w:hAnsi="PT Astra Serif"/>
          <w:b/>
          <w:sz w:val="28"/>
          <w:szCs w:val="28"/>
        </w:rPr>
        <w:t>Майоров</w:t>
      </w:r>
    </w:p>
    <w:p w:rsidR="00E65057" w:rsidRDefault="00E65057" w:rsidP="00E15CBB">
      <w:pPr>
        <w:pStyle w:val="a3"/>
        <w:spacing w:after="0" w:line="240" w:lineRule="auto"/>
        <w:ind w:left="0"/>
        <w:jc w:val="both"/>
        <w:rPr>
          <w:rFonts w:ascii="PT Astra Serif" w:hAnsi="PT Astra Serif"/>
          <w:b/>
          <w:sz w:val="28"/>
          <w:szCs w:val="28"/>
        </w:rPr>
      </w:pPr>
    </w:p>
    <w:p w:rsidR="00E65057" w:rsidRDefault="00E65057" w:rsidP="00E15CBB">
      <w:pPr>
        <w:pStyle w:val="a3"/>
        <w:spacing w:after="0" w:line="240" w:lineRule="auto"/>
        <w:ind w:left="0"/>
        <w:jc w:val="both"/>
        <w:rPr>
          <w:rFonts w:ascii="PT Astra Serif" w:hAnsi="PT Astra Serif"/>
          <w:b/>
          <w:sz w:val="28"/>
          <w:szCs w:val="28"/>
        </w:rPr>
      </w:pPr>
    </w:p>
    <w:p w:rsidR="00E65057" w:rsidRDefault="00E65057" w:rsidP="00E15CBB">
      <w:pPr>
        <w:pStyle w:val="a3"/>
        <w:spacing w:after="0" w:line="240" w:lineRule="auto"/>
        <w:ind w:left="0"/>
        <w:jc w:val="both"/>
        <w:rPr>
          <w:rFonts w:ascii="PT Astra Serif" w:hAnsi="PT Astra Serif"/>
          <w:b/>
          <w:sz w:val="28"/>
          <w:szCs w:val="28"/>
        </w:rPr>
      </w:pPr>
    </w:p>
    <w:p w:rsidR="00E65057" w:rsidRDefault="00E65057" w:rsidP="00E15CBB">
      <w:pPr>
        <w:pStyle w:val="a3"/>
        <w:spacing w:after="0" w:line="240" w:lineRule="auto"/>
        <w:ind w:left="0"/>
        <w:jc w:val="both"/>
        <w:rPr>
          <w:rFonts w:ascii="PT Astra Serif" w:hAnsi="PT Astra Serif"/>
          <w:b/>
          <w:sz w:val="28"/>
          <w:szCs w:val="28"/>
        </w:rPr>
      </w:pPr>
    </w:p>
    <w:p w:rsidR="00C06B13" w:rsidRDefault="00C06B13" w:rsidP="00E15CBB">
      <w:pPr>
        <w:pStyle w:val="a3"/>
        <w:spacing w:after="0" w:line="240" w:lineRule="auto"/>
        <w:ind w:left="0"/>
        <w:jc w:val="both"/>
        <w:rPr>
          <w:rFonts w:ascii="PT Astra Serif" w:hAnsi="PT Astra Serif"/>
          <w:b/>
          <w:sz w:val="28"/>
          <w:szCs w:val="28"/>
        </w:rPr>
      </w:pPr>
    </w:p>
    <w:p w:rsidR="00C06B13" w:rsidRDefault="00C06B13" w:rsidP="00E15CBB">
      <w:pPr>
        <w:pStyle w:val="a3"/>
        <w:spacing w:after="0" w:line="240" w:lineRule="auto"/>
        <w:ind w:left="0"/>
        <w:jc w:val="both"/>
        <w:rPr>
          <w:rFonts w:ascii="PT Astra Serif" w:hAnsi="PT Astra Serif"/>
          <w:b/>
          <w:sz w:val="28"/>
          <w:szCs w:val="28"/>
        </w:rPr>
      </w:pPr>
    </w:p>
    <w:p w:rsidR="00C06B13" w:rsidRDefault="00C06B13" w:rsidP="00E15CBB">
      <w:pPr>
        <w:pStyle w:val="a3"/>
        <w:spacing w:after="0" w:line="240" w:lineRule="auto"/>
        <w:ind w:left="0"/>
        <w:jc w:val="both"/>
        <w:rPr>
          <w:rFonts w:ascii="PT Astra Serif" w:hAnsi="PT Astra Serif"/>
          <w:b/>
          <w:sz w:val="28"/>
          <w:szCs w:val="28"/>
        </w:rPr>
      </w:pPr>
    </w:p>
    <w:p w:rsidR="00E65057" w:rsidRDefault="00E65057" w:rsidP="00E15CBB">
      <w:pPr>
        <w:pStyle w:val="a3"/>
        <w:spacing w:after="0" w:line="240" w:lineRule="auto"/>
        <w:ind w:left="0"/>
        <w:jc w:val="both"/>
        <w:rPr>
          <w:rFonts w:ascii="PT Astra Serif" w:hAnsi="PT Astra Serif"/>
          <w:b/>
          <w:sz w:val="28"/>
          <w:szCs w:val="28"/>
        </w:rPr>
      </w:pPr>
    </w:p>
    <w:p w:rsidR="001E2E29" w:rsidRDefault="001E2E29" w:rsidP="001E2E29">
      <w:pPr>
        <w:pStyle w:val="a3"/>
        <w:spacing w:after="0" w:line="240" w:lineRule="auto"/>
        <w:ind w:left="0"/>
        <w:jc w:val="right"/>
        <w:rPr>
          <w:rFonts w:ascii="PT Astra Serif" w:hAnsi="PT Astra Serif"/>
          <w:sz w:val="24"/>
          <w:szCs w:val="24"/>
        </w:rPr>
      </w:pPr>
      <w:r>
        <w:rPr>
          <w:rFonts w:ascii="PT Astra Serif" w:hAnsi="PT Astra Serif"/>
          <w:sz w:val="28"/>
          <w:szCs w:val="28"/>
        </w:rPr>
        <w:lastRenderedPageBreak/>
        <w:t xml:space="preserve">                                                                                            </w:t>
      </w:r>
      <w:r w:rsidR="00917DDB">
        <w:rPr>
          <w:rFonts w:ascii="PT Astra Serif" w:hAnsi="PT Astra Serif"/>
          <w:sz w:val="24"/>
          <w:szCs w:val="24"/>
        </w:rPr>
        <w:t>Приложение к постановлению</w:t>
      </w:r>
      <w:r>
        <w:rPr>
          <w:rFonts w:ascii="PT Astra Serif" w:hAnsi="PT Astra Serif"/>
          <w:sz w:val="24"/>
          <w:szCs w:val="24"/>
        </w:rPr>
        <w:t xml:space="preserve"> «</w:t>
      </w:r>
      <w:r w:rsidRPr="001E2E29">
        <w:rPr>
          <w:rFonts w:ascii="PT Astra Serif" w:hAnsi="PT Astra Serif"/>
          <w:sz w:val="24"/>
          <w:szCs w:val="24"/>
        </w:rPr>
        <w:t xml:space="preserve">О создании комиссии </w:t>
      </w:r>
    </w:p>
    <w:p w:rsidR="001E2E29" w:rsidRDefault="001E2E29" w:rsidP="001E2E29">
      <w:pPr>
        <w:pStyle w:val="a3"/>
        <w:spacing w:after="0" w:line="240" w:lineRule="auto"/>
        <w:ind w:left="0"/>
        <w:jc w:val="right"/>
        <w:rPr>
          <w:rFonts w:ascii="PT Astra Serif" w:hAnsi="PT Astra Serif"/>
          <w:sz w:val="24"/>
          <w:szCs w:val="24"/>
        </w:rPr>
      </w:pPr>
      <w:r w:rsidRPr="001E2E29">
        <w:rPr>
          <w:rFonts w:ascii="PT Astra Serif" w:hAnsi="PT Astra Serif"/>
          <w:sz w:val="24"/>
          <w:szCs w:val="24"/>
        </w:rPr>
        <w:t>по поступлению и выбытию активов</w:t>
      </w:r>
      <w:r>
        <w:rPr>
          <w:rFonts w:ascii="PT Astra Serif" w:hAnsi="PT Astra Serif"/>
          <w:sz w:val="24"/>
          <w:szCs w:val="24"/>
        </w:rPr>
        <w:t>»</w:t>
      </w:r>
    </w:p>
    <w:p w:rsidR="001E2E29" w:rsidRDefault="00C06B13" w:rsidP="001E2E29">
      <w:pPr>
        <w:pStyle w:val="a3"/>
        <w:spacing w:after="0" w:line="240" w:lineRule="auto"/>
        <w:ind w:left="0"/>
        <w:jc w:val="right"/>
        <w:rPr>
          <w:rFonts w:ascii="PT Astra Serif" w:hAnsi="PT Astra Serif"/>
          <w:sz w:val="24"/>
          <w:szCs w:val="24"/>
        </w:rPr>
      </w:pPr>
      <w:r>
        <w:rPr>
          <w:rFonts w:ascii="PT Astra Serif" w:hAnsi="PT Astra Serif"/>
          <w:sz w:val="24"/>
          <w:szCs w:val="24"/>
        </w:rPr>
        <w:t>от 18.12.2024 года № 154</w:t>
      </w:r>
    </w:p>
    <w:p w:rsidR="001E2E29" w:rsidRDefault="001E2E29" w:rsidP="001E2E29">
      <w:pPr>
        <w:pStyle w:val="a3"/>
        <w:spacing w:after="0" w:line="240" w:lineRule="auto"/>
        <w:ind w:left="0"/>
        <w:jc w:val="right"/>
        <w:rPr>
          <w:rFonts w:ascii="PT Astra Serif" w:hAnsi="PT Astra Serif"/>
          <w:sz w:val="24"/>
          <w:szCs w:val="24"/>
        </w:rPr>
      </w:pPr>
    </w:p>
    <w:p w:rsidR="001B6753" w:rsidRDefault="001B6753" w:rsidP="001E2E29">
      <w:pPr>
        <w:pStyle w:val="a3"/>
        <w:spacing w:after="0" w:line="240" w:lineRule="auto"/>
        <w:ind w:left="0"/>
        <w:jc w:val="right"/>
        <w:rPr>
          <w:rFonts w:ascii="PT Astra Serif" w:hAnsi="PT Astra Serif"/>
          <w:sz w:val="24"/>
          <w:szCs w:val="24"/>
        </w:rPr>
      </w:pPr>
    </w:p>
    <w:p w:rsidR="001E2E29" w:rsidRPr="001E2E29" w:rsidRDefault="001E2E29" w:rsidP="001E2E29">
      <w:pPr>
        <w:pStyle w:val="a3"/>
        <w:spacing w:after="0" w:line="240" w:lineRule="auto"/>
        <w:ind w:left="0"/>
        <w:jc w:val="both"/>
        <w:rPr>
          <w:rFonts w:ascii="PT Astra Serif" w:hAnsi="PT Astra Serif"/>
          <w:b/>
          <w:sz w:val="28"/>
          <w:szCs w:val="28"/>
        </w:rPr>
      </w:pPr>
      <w:r w:rsidRPr="001E2E29">
        <w:rPr>
          <w:rFonts w:ascii="PT Astra Serif" w:hAnsi="PT Astra Serif"/>
          <w:b/>
          <w:sz w:val="28"/>
          <w:szCs w:val="28"/>
        </w:rPr>
        <w:t xml:space="preserve">                                                  ПОЛОЖЕНИЕ</w:t>
      </w:r>
    </w:p>
    <w:p w:rsidR="001E2E29" w:rsidRDefault="001E2E29" w:rsidP="001E2E29">
      <w:pPr>
        <w:pStyle w:val="a3"/>
        <w:spacing w:after="0" w:line="240" w:lineRule="auto"/>
        <w:ind w:left="0"/>
        <w:jc w:val="both"/>
        <w:rPr>
          <w:rFonts w:ascii="PT Astra Serif" w:hAnsi="PT Astra Serif"/>
          <w:b/>
          <w:sz w:val="28"/>
          <w:szCs w:val="28"/>
        </w:rPr>
      </w:pPr>
      <w:r w:rsidRPr="001E2E29">
        <w:rPr>
          <w:rFonts w:ascii="PT Astra Serif" w:hAnsi="PT Astra Serif"/>
          <w:b/>
          <w:sz w:val="28"/>
          <w:szCs w:val="28"/>
        </w:rPr>
        <w:t xml:space="preserve">                    о Комиссии по поступлению и выбытию активов.</w:t>
      </w:r>
    </w:p>
    <w:p w:rsidR="001E2E29" w:rsidRDefault="001E2E29" w:rsidP="001E2E29">
      <w:pPr>
        <w:pStyle w:val="a3"/>
        <w:spacing w:after="0" w:line="240" w:lineRule="auto"/>
        <w:ind w:left="0"/>
        <w:jc w:val="both"/>
        <w:rPr>
          <w:rFonts w:ascii="PT Astra Serif" w:hAnsi="PT Astra Serif"/>
          <w:b/>
          <w:sz w:val="28"/>
          <w:szCs w:val="28"/>
        </w:rPr>
      </w:pPr>
    </w:p>
    <w:p w:rsidR="001E2E29" w:rsidRDefault="001E2E29" w:rsidP="001E2E29">
      <w:pPr>
        <w:pStyle w:val="a3"/>
        <w:spacing w:after="0" w:line="240" w:lineRule="auto"/>
        <w:ind w:left="0"/>
        <w:jc w:val="both"/>
        <w:rPr>
          <w:rFonts w:ascii="PT Astra Serif" w:hAnsi="PT Astra Serif"/>
          <w:b/>
          <w:sz w:val="28"/>
          <w:szCs w:val="28"/>
        </w:rPr>
      </w:pPr>
      <w:r w:rsidRPr="001E2E29">
        <w:rPr>
          <w:rFonts w:ascii="PT Astra Serif" w:hAnsi="PT Astra Serif"/>
          <w:sz w:val="28"/>
          <w:szCs w:val="28"/>
        </w:rPr>
        <w:t xml:space="preserve">                                           </w:t>
      </w:r>
      <w:r w:rsidRPr="001E2E29">
        <w:rPr>
          <w:rFonts w:ascii="PT Astra Serif" w:hAnsi="PT Astra Serif"/>
          <w:b/>
          <w:sz w:val="28"/>
          <w:szCs w:val="28"/>
        </w:rPr>
        <w:t>1.Общие положения</w:t>
      </w:r>
    </w:p>
    <w:p w:rsidR="001E2E29" w:rsidRDefault="001E2E29" w:rsidP="001E2E29">
      <w:pPr>
        <w:pStyle w:val="a3"/>
        <w:spacing w:after="0" w:line="240" w:lineRule="auto"/>
        <w:ind w:left="0"/>
        <w:jc w:val="both"/>
        <w:rPr>
          <w:rFonts w:ascii="PT Astra Serif" w:hAnsi="PT Astra Serif"/>
          <w:sz w:val="28"/>
          <w:szCs w:val="28"/>
        </w:rPr>
      </w:pPr>
      <w:r>
        <w:rPr>
          <w:rFonts w:ascii="PT Astra Serif" w:hAnsi="PT Astra Serif"/>
          <w:sz w:val="28"/>
          <w:szCs w:val="28"/>
        </w:rPr>
        <w:t xml:space="preserve">          </w:t>
      </w:r>
      <w:r w:rsidRPr="001E2E29">
        <w:rPr>
          <w:rFonts w:ascii="PT Astra Serif" w:hAnsi="PT Astra Serif"/>
          <w:sz w:val="28"/>
          <w:szCs w:val="28"/>
        </w:rPr>
        <w:t xml:space="preserve">Комиссия по поступлению и выбытию активов </w:t>
      </w:r>
      <w:r w:rsidR="00C31FD4">
        <w:rPr>
          <w:rFonts w:ascii="PT Astra Serif" w:hAnsi="PT Astra Serif"/>
          <w:sz w:val="28"/>
          <w:szCs w:val="28"/>
        </w:rPr>
        <w:t>администрации муниципального образования город Липки Киреевского района</w:t>
      </w:r>
      <w:r w:rsidRPr="001E2E29">
        <w:rPr>
          <w:rFonts w:ascii="PT Astra Serif" w:hAnsi="PT Astra Serif"/>
          <w:sz w:val="28"/>
          <w:szCs w:val="28"/>
        </w:rPr>
        <w:t xml:space="preserve"> (далее – Комиссия)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rsidR="001E2E29" w:rsidRDefault="001E2E29" w:rsidP="001E2E29">
      <w:pPr>
        <w:pStyle w:val="a3"/>
        <w:tabs>
          <w:tab w:val="left" w:pos="709"/>
        </w:tabs>
        <w:spacing w:after="0" w:line="240" w:lineRule="auto"/>
        <w:ind w:left="0"/>
        <w:jc w:val="both"/>
        <w:rPr>
          <w:rFonts w:ascii="PT Astra Serif" w:hAnsi="PT Astra Serif"/>
          <w:sz w:val="28"/>
          <w:szCs w:val="28"/>
        </w:rPr>
      </w:pPr>
      <w:r w:rsidRPr="001E2E29">
        <w:rPr>
          <w:rFonts w:ascii="PT Astra Serif" w:hAnsi="PT Astra Serif"/>
          <w:sz w:val="28"/>
          <w:szCs w:val="28"/>
        </w:rPr>
        <w:t>Комиссия в своей работе руководствуется:</w:t>
      </w:r>
    </w:p>
    <w:p w:rsidR="001E2E29" w:rsidRPr="001E2E29" w:rsidRDefault="001E2E29" w:rsidP="001E2E29">
      <w:pPr>
        <w:pStyle w:val="a3"/>
        <w:tabs>
          <w:tab w:val="left" w:pos="709"/>
        </w:tabs>
        <w:spacing w:after="0" w:line="240" w:lineRule="auto"/>
        <w:ind w:left="0" w:firstLine="709"/>
        <w:jc w:val="both"/>
        <w:rPr>
          <w:rFonts w:ascii="PT Astra Serif" w:hAnsi="PT Astra Serif"/>
          <w:sz w:val="28"/>
          <w:szCs w:val="28"/>
        </w:rPr>
      </w:pPr>
      <w:r w:rsidRPr="001E2E29">
        <w:rPr>
          <w:rFonts w:ascii="PT Astra Serif" w:hAnsi="PT Astra Serif"/>
          <w:sz w:val="28"/>
          <w:szCs w:val="28"/>
        </w:rPr>
        <w:t xml:space="preserve"> </w:t>
      </w:r>
      <w:r w:rsidRPr="001E2E29">
        <w:sym w:font="Symbol" w:char="F0B7"/>
      </w:r>
      <w:r w:rsidRPr="001E2E29">
        <w:rPr>
          <w:rFonts w:ascii="PT Astra Serif" w:hAnsi="PT Astra Serif"/>
          <w:sz w:val="28"/>
          <w:szCs w:val="28"/>
        </w:rPr>
        <w:t xml:space="preserve"> Законом от 06.12.2011 № 402-ФЗ «О бухгалтерском учете»;</w:t>
      </w:r>
    </w:p>
    <w:p w:rsidR="001E2E29" w:rsidRDefault="001E2E29" w:rsidP="001E2E29">
      <w:pPr>
        <w:pStyle w:val="a3"/>
        <w:spacing w:after="0" w:line="240" w:lineRule="auto"/>
        <w:ind w:left="0" w:firstLine="709"/>
        <w:jc w:val="both"/>
        <w:rPr>
          <w:rFonts w:ascii="PT Astra Serif" w:hAnsi="PT Astra Serif"/>
          <w:sz w:val="28"/>
          <w:szCs w:val="28"/>
        </w:rPr>
      </w:pPr>
      <w:r w:rsidRPr="001E2E29">
        <w:rPr>
          <w:rFonts w:ascii="PT Astra Serif" w:hAnsi="PT Astra Serif"/>
          <w:sz w:val="28"/>
          <w:szCs w:val="28"/>
        </w:rPr>
        <w:t xml:space="preserve"> </w:t>
      </w:r>
      <w:r w:rsidRPr="001E2E29">
        <w:rPr>
          <w:rFonts w:ascii="PT Astra Serif" w:hAnsi="PT Astra Serif"/>
          <w:sz w:val="28"/>
          <w:szCs w:val="28"/>
        </w:rPr>
        <w:sym w:font="Symbol" w:char="F0B7"/>
      </w:r>
      <w:r w:rsidRPr="001E2E29">
        <w:rPr>
          <w:rFonts w:ascii="PT Astra Serif" w:hAnsi="PT Astra Serif"/>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Общероссийским классификатором основных фондов ОК 013-2014 (СНС 2008), утвержденным приказом </w:t>
      </w:r>
      <w:proofErr w:type="spellStart"/>
      <w:r w:rsidRPr="001E2E29">
        <w:rPr>
          <w:rFonts w:ascii="PT Astra Serif" w:hAnsi="PT Astra Serif"/>
          <w:sz w:val="28"/>
          <w:szCs w:val="28"/>
        </w:rPr>
        <w:t>Росстандарта</w:t>
      </w:r>
      <w:proofErr w:type="spellEnd"/>
      <w:r w:rsidRPr="001E2E29">
        <w:rPr>
          <w:rFonts w:ascii="PT Astra Serif" w:hAnsi="PT Astra Serif"/>
          <w:sz w:val="28"/>
          <w:szCs w:val="28"/>
        </w:rPr>
        <w:t xml:space="preserve"> от 12.12.2014 № 2018-ст (далее – ОКОФ); </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постановлением Правительства РФ от 01.01.2002 № 1 «О Классификации основных средств, включаемых в амортизационные группы» (далее – Постановление № 1); </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Федеральным стандартом «Основные средства», утвержденным приказом Минфина России от 31.12.2016 № 257н; </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31.12.2016 № 256н;</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Федеральным стандартом «Обесценение активов», утвержденным приказом Минфина России от 31.12.2016 № 259н; </w:t>
      </w:r>
    </w:p>
    <w:p w:rsidR="001E2E29" w:rsidRDefault="001E2E29" w:rsidP="001E2E2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  </w:t>
      </w:r>
      <w:r w:rsidRPr="001E2E29">
        <w:rPr>
          <w:rFonts w:ascii="PT Astra Serif" w:hAnsi="PT Astra Serif"/>
          <w:sz w:val="28"/>
          <w:szCs w:val="28"/>
        </w:rPr>
        <w:sym w:font="Symbol" w:char="F0B7"/>
      </w:r>
      <w:r w:rsidRPr="001E2E29">
        <w:rPr>
          <w:rFonts w:ascii="PT Astra Serif" w:hAnsi="PT Astra Serif"/>
          <w:sz w:val="28"/>
          <w:szCs w:val="28"/>
        </w:rPr>
        <w:t xml:space="preserve"> Федеральным стандартом «Доходы», утвержденным приказом Минфина России от 27.02.2018 № 32н; </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Федеральным стандартом «Запасы», утвержденным приказом Минфина России от 07.12.2018 № 256н; </w:t>
      </w:r>
    </w:p>
    <w:p w:rsidR="001E2E29" w:rsidRDefault="001E2E29" w:rsidP="001E2E29">
      <w:pPr>
        <w:pStyle w:val="a3"/>
        <w:spacing w:after="0" w:line="240" w:lineRule="auto"/>
        <w:ind w:left="0"/>
        <w:jc w:val="both"/>
        <w:rPr>
          <w:rFonts w:ascii="PT Astra Serif" w:hAnsi="PT Astra Serif"/>
          <w:sz w:val="28"/>
          <w:szCs w:val="28"/>
        </w:rPr>
      </w:pPr>
      <w:r>
        <w:rPr>
          <w:rFonts w:ascii="PT Astra Serif" w:hAnsi="PT Astra Serif"/>
          <w:sz w:val="28"/>
          <w:szCs w:val="28"/>
        </w:rPr>
        <w:t xml:space="preserve">            </w:t>
      </w:r>
      <w:r w:rsidRPr="001E2E29">
        <w:rPr>
          <w:rFonts w:ascii="PT Astra Serif" w:hAnsi="PT Astra Serif"/>
          <w:sz w:val="28"/>
          <w:szCs w:val="28"/>
        </w:rPr>
        <w:sym w:font="Symbol" w:char="F0B7"/>
      </w:r>
      <w:r>
        <w:rPr>
          <w:rFonts w:ascii="PT Astra Serif" w:hAnsi="PT Astra Serif"/>
          <w:sz w:val="28"/>
          <w:szCs w:val="28"/>
        </w:rPr>
        <w:t xml:space="preserve"> </w:t>
      </w:r>
      <w:r w:rsidRPr="001E2E29">
        <w:rPr>
          <w:rFonts w:ascii="PT Astra Serif" w:hAnsi="PT Astra Serif"/>
          <w:sz w:val="28"/>
          <w:szCs w:val="28"/>
        </w:rPr>
        <w:t xml:space="preserve">Федеральным стандартом «Нематериальные активы», утвержденным приказом Минфина России от 15.11.2019 № 181н; </w:t>
      </w:r>
    </w:p>
    <w:p w:rsidR="001E2E29" w:rsidRDefault="001E2E29" w:rsidP="001E2E29">
      <w:pPr>
        <w:pStyle w:val="a3"/>
        <w:spacing w:after="0" w:line="240" w:lineRule="auto"/>
        <w:ind w:left="0" w:firstLine="851"/>
        <w:jc w:val="both"/>
        <w:rPr>
          <w:rFonts w:ascii="PT Astra Serif" w:hAnsi="PT Astra Serif"/>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Pr="001E2E29">
        <w:rPr>
          <w:rFonts w:ascii="PT Astra Serif" w:hAnsi="PT Astra Serif"/>
          <w:sz w:val="28"/>
          <w:szCs w:val="28"/>
        </w:rPr>
        <w:lastRenderedPageBreak/>
        <w:t xml:space="preserve">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w:t>
      </w:r>
    </w:p>
    <w:p w:rsidR="001E2E29" w:rsidRDefault="001E2E29" w:rsidP="007E0D12">
      <w:pPr>
        <w:pStyle w:val="a3"/>
        <w:spacing w:after="0" w:line="240" w:lineRule="auto"/>
        <w:ind w:left="0" w:firstLine="709"/>
        <w:jc w:val="both"/>
        <w:rPr>
          <w:rFonts w:ascii="PT Astra Serif" w:hAnsi="PT Astra Serif"/>
          <w:b/>
          <w:sz w:val="28"/>
          <w:szCs w:val="28"/>
        </w:rPr>
      </w:pPr>
      <w:r w:rsidRPr="001E2E29">
        <w:rPr>
          <w:rFonts w:ascii="PT Astra Serif" w:hAnsi="PT Astra Serif"/>
          <w:sz w:val="28"/>
          <w:szCs w:val="28"/>
        </w:rPr>
        <w:sym w:font="Symbol" w:char="F0B7"/>
      </w:r>
      <w:r w:rsidRPr="001E2E29">
        <w:rPr>
          <w:rFonts w:ascii="PT Astra Serif" w:hAnsi="PT Astra Serif"/>
          <w:sz w:val="28"/>
          <w:szCs w:val="28"/>
        </w:rPr>
        <w:t xml:space="preserve"> Постановлением Правительства РФ от 14.10.2010 г. № 834 «Об особенностях списания федерального имущества»</w:t>
      </w:r>
      <w:r w:rsidRPr="001E2E29">
        <w:rPr>
          <w:rFonts w:ascii="PT Astra Serif" w:hAnsi="PT Astra Serif"/>
          <w:b/>
          <w:sz w:val="28"/>
          <w:szCs w:val="28"/>
        </w:rPr>
        <w:t>.</w:t>
      </w:r>
    </w:p>
    <w:p w:rsidR="0036410D" w:rsidRDefault="0036410D" w:rsidP="007E0D12">
      <w:pPr>
        <w:pStyle w:val="a3"/>
        <w:spacing w:after="0" w:line="240" w:lineRule="auto"/>
        <w:ind w:left="0" w:firstLine="709"/>
        <w:jc w:val="both"/>
        <w:rPr>
          <w:rFonts w:ascii="PT Astra Serif" w:hAnsi="PT Astra Serif"/>
          <w:b/>
          <w:sz w:val="28"/>
          <w:szCs w:val="28"/>
        </w:rPr>
      </w:pPr>
      <w:r>
        <w:rPr>
          <w:rFonts w:ascii="PT Astra Serif" w:hAnsi="PT Astra Serif"/>
          <w:b/>
          <w:sz w:val="28"/>
          <w:szCs w:val="28"/>
        </w:rPr>
        <w:t xml:space="preserve">   </w:t>
      </w:r>
    </w:p>
    <w:p w:rsidR="0036410D" w:rsidRPr="0036410D" w:rsidRDefault="0036410D" w:rsidP="007E0D12">
      <w:pPr>
        <w:pStyle w:val="a3"/>
        <w:spacing w:after="0" w:line="240" w:lineRule="auto"/>
        <w:ind w:left="0" w:firstLine="709"/>
        <w:jc w:val="both"/>
        <w:rPr>
          <w:rFonts w:ascii="PT Astra Serif" w:hAnsi="PT Astra Serif"/>
          <w:b/>
          <w:sz w:val="28"/>
          <w:szCs w:val="28"/>
        </w:rPr>
      </w:pPr>
      <w:r>
        <w:rPr>
          <w:rFonts w:ascii="PT Astra Serif" w:hAnsi="PT Astra Serif"/>
          <w:sz w:val="28"/>
          <w:szCs w:val="28"/>
        </w:rPr>
        <w:t xml:space="preserve">              </w:t>
      </w:r>
      <w:r w:rsidRPr="0036410D">
        <w:rPr>
          <w:rFonts w:ascii="PT Astra Serif" w:hAnsi="PT Astra Serif"/>
          <w:b/>
          <w:sz w:val="28"/>
          <w:szCs w:val="28"/>
        </w:rPr>
        <w:t xml:space="preserve">2. Организация работы </w:t>
      </w:r>
      <w:proofErr w:type="gramStart"/>
      <w:r w:rsidRPr="0036410D">
        <w:rPr>
          <w:rFonts w:ascii="PT Astra Serif" w:hAnsi="PT Astra Serif"/>
          <w:b/>
          <w:sz w:val="28"/>
          <w:szCs w:val="28"/>
        </w:rPr>
        <w:t xml:space="preserve">Комиссии </w:t>
      </w:r>
      <w:r>
        <w:rPr>
          <w:rFonts w:ascii="PT Astra Serif" w:hAnsi="PT Astra Serif"/>
          <w:b/>
          <w:sz w:val="28"/>
          <w:szCs w:val="28"/>
        </w:rPr>
        <w:t>.</w:t>
      </w:r>
      <w:proofErr w:type="gramEnd"/>
    </w:p>
    <w:p w:rsidR="0036410D" w:rsidRDefault="0036410D" w:rsidP="007E0D12">
      <w:pPr>
        <w:pStyle w:val="a3"/>
        <w:spacing w:after="0" w:line="240" w:lineRule="auto"/>
        <w:ind w:left="0" w:firstLine="709"/>
        <w:jc w:val="both"/>
        <w:rPr>
          <w:rFonts w:ascii="PT Astra Serif" w:hAnsi="PT Astra Serif"/>
          <w:sz w:val="28"/>
          <w:szCs w:val="28"/>
        </w:rPr>
      </w:pPr>
    </w:p>
    <w:p w:rsidR="00C31FD4" w:rsidRDefault="0036410D" w:rsidP="007E0D12">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 </w:t>
      </w:r>
      <w:r w:rsidRPr="0036410D">
        <w:rPr>
          <w:rFonts w:ascii="PT Astra Serif" w:hAnsi="PT Astra Serif"/>
          <w:sz w:val="28"/>
          <w:szCs w:val="28"/>
        </w:rPr>
        <w:t xml:space="preserve">2.1. </w:t>
      </w:r>
      <w:bookmarkStart w:id="0" w:name="_GoBack"/>
      <w:r w:rsidRPr="0036410D">
        <w:rPr>
          <w:rFonts w:ascii="PT Astra Serif" w:hAnsi="PT Astra Serif"/>
          <w:sz w:val="28"/>
          <w:szCs w:val="28"/>
        </w:rPr>
        <w:t>Персональный соста</w:t>
      </w:r>
      <w:r w:rsidR="001B6753">
        <w:rPr>
          <w:rFonts w:ascii="PT Astra Serif" w:hAnsi="PT Astra Serif"/>
          <w:sz w:val="28"/>
          <w:szCs w:val="28"/>
        </w:rPr>
        <w:t>в Комиссии утверждается распоряжением</w:t>
      </w:r>
      <w:r w:rsidRPr="0036410D">
        <w:rPr>
          <w:rFonts w:ascii="PT Astra Serif" w:hAnsi="PT Astra Serif"/>
          <w:sz w:val="28"/>
          <w:szCs w:val="28"/>
        </w:rPr>
        <w:t xml:space="preserve"> </w:t>
      </w:r>
      <w:r w:rsidR="001B6753" w:rsidRPr="00C06B13">
        <w:rPr>
          <w:rFonts w:ascii="PT Astra Serif" w:hAnsi="PT Astra Serif"/>
          <w:sz w:val="28"/>
          <w:szCs w:val="28"/>
        </w:rPr>
        <w:t>администрации</w:t>
      </w:r>
      <w:r w:rsidRPr="0036410D">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2.2. Комиссия проводит </w:t>
      </w:r>
      <w:bookmarkEnd w:id="0"/>
      <w:r w:rsidRPr="0036410D">
        <w:rPr>
          <w:rFonts w:ascii="PT Astra Serif" w:hAnsi="PT Astra Serif"/>
          <w:sz w:val="28"/>
          <w:szCs w:val="28"/>
        </w:rPr>
        <w:t xml:space="preserve">заседания по мере необходимости.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2.3. Решения Комиссии считаются правомочными, если на заседании присутствует не менее 2/3 от общего числа ее членов.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 Основные задачи Комиссии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3.1. Комиссия принимает решения по следующим вопросам:</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 определение, какое имущество в учреждении считается активом, то есть приносит экономическую выгоду или имеет полезный потенциал; </w:t>
      </w:r>
      <w:r w:rsidR="00C31FD4">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3.1.2. отнесение объектов имущества к основным средствам и определение признаков отнесения к особо ценному движимому имуществу; </w:t>
      </w:r>
      <w:r w:rsidR="00C31FD4">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3.1.3. определение группы аналитического учета активов и кодов по ОКОФ;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3.1.4. определение способа начисления амортизации;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3.1.6. определение необходимости объединения объектов с несущественной стоимостью в единый комплекс;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3.1.7. изъятие и передача материально-ответственному лицу из списываемых основных средств пригодных узлов, деталей и постановка их на учет;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или физических лиц;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3.1.9. определение срока полезного использования поступающих в учреждение основных средств, нематериальных активов, а также материальных запасов, которые учреждение планирует использовать в деятельности более 12 месяцев;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3.1.10. определение первоначальной (фактической) стоимости принимаемых к учету основных средств, нематериальных активов, материальных запасов;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3.1.11. определение признаков обесценения активов;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lastRenderedPageBreak/>
        <w:t xml:space="preserve">3.1.12.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w:t>
      </w:r>
      <w:proofErr w:type="gramStart"/>
      <w:r w:rsidRPr="0036410D">
        <w:rPr>
          <w:rFonts w:ascii="PT Astra Serif" w:hAnsi="PT Astra Serif"/>
          <w:sz w:val="28"/>
          <w:szCs w:val="28"/>
        </w:rPr>
        <w:t>за</w:t>
      </w:r>
      <w:r w:rsidR="00E65057">
        <w:rPr>
          <w:rFonts w:ascii="PT Astra Serif" w:hAnsi="PT Astra Serif"/>
          <w:sz w:val="28"/>
          <w:szCs w:val="28"/>
        </w:rPr>
        <w:t xml:space="preserve"> </w:t>
      </w:r>
      <w:r w:rsidRPr="0036410D">
        <w:rPr>
          <w:rFonts w:ascii="PT Astra Serif" w:hAnsi="PT Astra Serif"/>
          <w:sz w:val="28"/>
          <w:szCs w:val="28"/>
        </w:rPr>
        <w:t>балансовом учете</w:t>
      </w:r>
      <w:proofErr w:type="gramEnd"/>
      <w:r w:rsidRPr="0036410D">
        <w:rPr>
          <w:rFonts w:ascii="PT Astra Serif" w:hAnsi="PT Astra Serif"/>
          <w:sz w:val="28"/>
          <w:szCs w:val="28"/>
        </w:rPr>
        <w:t xml:space="preserve">; </w:t>
      </w:r>
    </w:p>
    <w:p w:rsidR="00C31FD4" w:rsidRPr="003C199B" w:rsidRDefault="0036410D" w:rsidP="003C199B">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3.1.14.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w:t>
      </w:r>
      <w:proofErr w:type="gramStart"/>
      <w:r w:rsidRPr="0036410D">
        <w:rPr>
          <w:rFonts w:ascii="PT Astra Serif" w:hAnsi="PT Astra Serif"/>
          <w:sz w:val="28"/>
          <w:szCs w:val="28"/>
        </w:rPr>
        <w:t>за</w:t>
      </w:r>
      <w:r w:rsidR="003C199B">
        <w:rPr>
          <w:rFonts w:ascii="PT Astra Serif" w:hAnsi="PT Astra Serif"/>
          <w:sz w:val="28"/>
          <w:szCs w:val="28"/>
        </w:rPr>
        <w:t xml:space="preserve"> </w:t>
      </w:r>
      <w:r w:rsidRPr="0036410D">
        <w:rPr>
          <w:rFonts w:ascii="PT Astra Serif" w:hAnsi="PT Astra Serif"/>
          <w:sz w:val="28"/>
          <w:szCs w:val="28"/>
        </w:rPr>
        <w:t>балансовом учете</w:t>
      </w:r>
      <w:proofErr w:type="gramEnd"/>
      <w:r w:rsidRPr="0036410D">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3.1.15. определение возможности использовать отдельные узлы, детали и материалы от выбывающих основных средств и их первоначальной стоимости;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3.1.17. осуществление сверок с дебиторами с целью принятия решения о списании дебиторской задолженности;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3.1.18. признание дебиторской задолженности сомнительной в целях списания с балансового учета;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3.1.19. признание дебиторской задолженности безнадежной для взыскания в целях списания с балансового и </w:t>
      </w:r>
      <w:proofErr w:type="gramStart"/>
      <w:r w:rsidRPr="0036410D">
        <w:rPr>
          <w:rFonts w:ascii="PT Astra Serif" w:hAnsi="PT Astra Serif"/>
          <w:sz w:val="28"/>
          <w:szCs w:val="28"/>
        </w:rPr>
        <w:t>за</w:t>
      </w:r>
      <w:r w:rsidR="003C199B">
        <w:rPr>
          <w:rFonts w:ascii="PT Astra Serif" w:hAnsi="PT Astra Serif"/>
          <w:sz w:val="28"/>
          <w:szCs w:val="28"/>
        </w:rPr>
        <w:t xml:space="preserve"> </w:t>
      </w:r>
      <w:r w:rsidRPr="0036410D">
        <w:rPr>
          <w:rFonts w:ascii="PT Astra Serif" w:hAnsi="PT Astra Serif"/>
          <w:sz w:val="28"/>
          <w:szCs w:val="28"/>
        </w:rPr>
        <w:t>балансового учета</w:t>
      </w:r>
      <w:proofErr w:type="gramEnd"/>
      <w:r w:rsidRPr="0036410D">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3.2. Комиссия осуществляет контроль за: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3.2.1. изъятием из списываемых основных средств пригодных узлов, деталей, и материалов;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3.2.2. сдачей вторичного сырья в организации приема вторичного сырья;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 </w:t>
      </w:r>
      <w:r w:rsidR="00C31FD4">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3.3. Уполномоченный член Комиссии контролирует нанесение материально</w:t>
      </w:r>
      <w:r w:rsidR="003C199B">
        <w:rPr>
          <w:rFonts w:ascii="PT Astra Serif" w:hAnsi="PT Astra Serif"/>
          <w:sz w:val="28"/>
          <w:szCs w:val="28"/>
        </w:rPr>
        <w:t>-</w:t>
      </w:r>
      <w:r w:rsidRPr="0036410D">
        <w:rPr>
          <w:rFonts w:ascii="PT Astra Serif" w:hAnsi="PT Astra Serif"/>
          <w:sz w:val="28"/>
          <w:szCs w:val="28"/>
        </w:rPr>
        <w:t xml:space="preserve">ответственным лицом присвоенных объектам основных средств инвентарных номеров, а также маркировку объектов материальных запасов.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 Порядок принятия решений по нефинансовым активам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4.1. Решение Комиссии об отнесении объекта имущества к основным средствам, материальным запасам, нематериальным активам и неисключительным правам на них, а также о сроках использования активов осуществляется в соответствии с Инструкцией № 157н, положениями стандартов «Основные средства», «Запасы», «Нематериальные активы» и учетной политикой учреждения, иными нормативными правовыми актами.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lastRenderedPageBreak/>
        <w:t>4.2.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информации, содержащейся в законодательстве РФ, устанавливающем сроки полезного использования имущества в целях начисления амортизации;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рекомендаций, содержащихся в документах производителя; </w:t>
      </w:r>
    </w:p>
    <w:p w:rsidR="00C31FD4" w:rsidRPr="003C199B" w:rsidRDefault="0036410D" w:rsidP="003C199B">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4.3. Если в отношении нематериальных активов комиссия не может определить срок использования, он считается неопределенным. Ежегодно во время инвентаризации комиссия пересматривает сроки полезного использования по каждому объекту нематериальных активов.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4.4. Срок полезного использования неисключительных прав комиссия определяет исходя из следующего: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срока действия прав на результат интеллектуальной деятельности;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ожидаемого срока использования актива, в течение которого планируете использовать его в деятельности или получать экономические выгоды; Если анализ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службы.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4.5. Решение Комиссии о первоначальной (фактической) стоимости поступающих в учреждение на праве оперативного управления объектов нефинансовых активов принимается на основании следующих документов: </w:t>
      </w:r>
      <w:r w:rsidR="00C31FD4">
        <w:rPr>
          <w:rFonts w:ascii="PT Astra Serif" w:hAnsi="PT Astra Serif"/>
          <w:sz w:val="28"/>
          <w:szCs w:val="28"/>
        </w:rPr>
        <w:t xml:space="preserve">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представленных предыдущим балансодержателем (по безвозмездно полученным основным средствам и нематериальным активам);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данных о ценах на аналогичные материальные ценности, полученных в письменной форме от организаций-изготовителей;</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 </w:t>
      </w:r>
    </w:p>
    <w:p w:rsidR="003C199B" w:rsidRDefault="0036410D" w:rsidP="003C199B">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4.6. Решение Комиссии о принятии к учету основных средств и нематериальных активов при их приобретении (изготовлении), по которым </w:t>
      </w:r>
      <w:r w:rsidRPr="0036410D">
        <w:rPr>
          <w:rFonts w:ascii="PT Astra Serif" w:hAnsi="PT Astra Serif"/>
          <w:sz w:val="28"/>
          <w:szCs w:val="28"/>
        </w:rPr>
        <w:lastRenderedPageBreak/>
        <w:t>сформирована первоначальная (фактическая) стоимость, принимается на основании унифицированных первичных учетных документов, составленных согласно Приказу № 52н:</w:t>
      </w:r>
    </w:p>
    <w:p w:rsidR="00C31FD4" w:rsidRDefault="0036410D" w:rsidP="003C199B">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Акта о приеме-передаче объектов нефинансовых активов (форма 0504101) для приема-передачи нефинансовых активов. Акт о приеме-передаче объектов нефинансовых активов применяется при оформлении приема</w:t>
      </w:r>
      <w:r w:rsidR="00C31FD4">
        <w:rPr>
          <w:rFonts w:ascii="PT Astra Serif" w:hAnsi="PT Astra Serif"/>
          <w:sz w:val="28"/>
          <w:szCs w:val="28"/>
        </w:rPr>
        <w:t>-</w:t>
      </w:r>
      <w:r w:rsidRPr="0036410D">
        <w:rPr>
          <w:rFonts w:ascii="PT Astra Serif" w:hAnsi="PT Astra Serif"/>
          <w:sz w:val="28"/>
          <w:szCs w:val="28"/>
        </w:rPr>
        <w:t xml:space="preserve">передачи как одного, так и нескольких объектов нефинансовых активов;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 </w:t>
      </w:r>
    </w:p>
    <w:p w:rsidR="00C31FD4" w:rsidRPr="00C31FD4" w:rsidRDefault="0036410D" w:rsidP="00C31FD4">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4.7.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установление конкретных причин списания (выбытия) (износ физический, моральный; авария; другие причины);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выявление лиц, по вине которых произошло преждевременное выбытие, и вынесении предложений о привлечении этих лиц к ответственности, установленной законодательством;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определение возможности использования отдельных узлов, деталей, материалов, выбывающих основных средств и их оценка на дату принятия к учету.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4.8. Решение Комиссии о списании (выбытии) основных средств принимается с учетом наличия: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w:t>
      </w:r>
      <w:r w:rsidRPr="0036410D">
        <w:rPr>
          <w:rFonts w:ascii="PT Astra Serif" w:hAnsi="PT Astra Serif"/>
          <w:sz w:val="28"/>
          <w:szCs w:val="28"/>
        </w:rPr>
        <w:lastRenderedPageBreak/>
        <w:t xml:space="preserve">хозяйственный инвентарь – при списании основных средств, не пригодных к использованию по назначению;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иных документов, подтверждающих факт преждевременного выбытия имущества из владения, пользования и распоряжения.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4.9.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Акт о списании объектов нефинансовых активов (кроме транспортных средств) (форма 0504104);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Акт о списании исключенных объектов библиотечного фонда (форма 0504144) с приложением списков литературы, исключаемой из библиотечного фонда;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Акт о списании материальных запасов (форма 0504230).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4.10. Решение о списании имущества принимается Комиссией: - по согласованию с Министерством иностранных дел Российской Федерации (Учредителем) в отношении особо ценного движимого имущества; - самостоятельно – в отношении иного движимого имущества. 5. Порядок принятия решений по дебиторской задолженности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5.2. Основанием для признания дебиторской задолженности безнадежной к взысканию являются: </w:t>
      </w:r>
      <w:r w:rsidRPr="0036410D">
        <w:rPr>
          <w:rFonts w:ascii="PT Astra Serif" w:hAnsi="PT Astra Serif"/>
          <w:sz w:val="28"/>
          <w:szCs w:val="28"/>
        </w:rPr>
        <w:sym w:font="Symbol" w:char="F0B7"/>
      </w:r>
      <w:r w:rsidRPr="0036410D">
        <w:rPr>
          <w:rFonts w:ascii="PT Astra Serif" w:hAnsi="PT Astra Serif"/>
          <w:sz w:val="28"/>
          <w:szCs w:val="28"/>
        </w:rPr>
        <w:t xml:space="preserve"> ликвидация организации-должника после завершения ликвидационного процесса в установленном законодательством Российской Федерации порядке и внесения записи о ликвидации в Единый государственный реестр юридических лиц (ЕГРЮЛ);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вступление в силу решения суда об отказе в удовлетворении требований (части требований) заявителя о взыскании задолженности;</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смерть должника – физического лица (индивидуального предпринимателя), или объявление его умершим, или признание безвестно </w:t>
      </w:r>
      <w:r w:rsidRPr="0036410D">
        <w:rPr>
          <w:rFonts w:ascii="PT Astra Serif" w:hAnsi="PT Astra Serif"/>
          <w:sz w:val="28"/>
          <w:szCs w:val="28"/>
        </w:rPr>
        <w:lastRenderedPageBreak/>
        <w:t>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5.3. Сомнительной признается задолженность при условии, что должник нарушил сроки исполнения обязательства, и наличии одного из следующих обстоятельств: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отсутствие обеспечения долга залогом, задатком, поручительством, банковской гарантией и т. п.;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возбуждение процедуры банкротства в отношении должника;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возбуждение процесса ликвидации должника;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регистрация должника по адресу массовой регистрации;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 Не признаются сомнительными: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обязательство должника, просрочка исполнения которого не превышает 30 дней; </w:t>
      </w:r>
      <w:r w:rsidRPr="0036410D">
        <w:rPr>
          <w:rFonts w:ascii="PT Astra Serif" w:hAnsi="PT Astra Serif"/>
          <w:sz w:val="28"/>
          <w:szCs w:val="28"/>
        </w:rPr>
        <w:sym w:font="Symbol" w:char="F0B7"/>
      </w:r>
      <w:r w:rsidRPr="0036410D">
        <w:rPr>
          <w:rFonts w:ascii="PT Astra Serif" w:hAnsi="PT Astra Serif"/>
          <w:sz w:val="28"/>
          <w:szCs w:val="28"/>
        </w:rPr>
        <w:t xml:space="preserve"> задолженность заказчиков по договорам оказания услуг или выполнения работ, по которым срок действия договора не истек.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5.4. Комиссия принимает решение на основании результатов инвентаризации дебиторской задолженности, если инвентаризационная комиссия дала рекомендацию списать задолженность. Заседание комиссии проводится на следующий рабочий день после поступления инвентаризационной описи расчетов с покупателями, поставщиками и </w:t>
      </w:r>
      <w:proofErr w:type="gramStart"/>
      <w:r w:rsidRPr="0036410D">
        <w:rPr>
          <w:rFonts w:ascii="PT Astra Serif" w:hAnsi="PT Astra Serif"/>
          <w:sz w:val="28"/>
          <w:szCs w:val="28"/>
        </w:rPr>
        <w:t>прочими дебиторами</w:t>
      </w:r>
      <w:proofErr w:type="gramEnd"/>
      <w:r w:rsidRPr="0036410D">
        <w:rPr>
          <w:rFonts w:ascii="PT Astra Serif" w:hAnsi="PT Astra Serif"/>
          <w:sz w:val="28"/>
          <w:szCs w:val="28"/>
        </w:rPr>
        <w:t xml:space="preserve"> и кредиторами (ф. 0504089).</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5.5.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приложенных к инвентаризационной описи, при необходимости комиссия запрашивает у главного бухгалтера выписки из отчетности, пояснения о мерах, принятых для взыскания задолженности. На основании полученных документов комиссия устанавливает факт возникновения обстоятельств для признания дебиторской задолженности сомнительной или безнадежной к взысканию, в том числе путем изучения информации в сети Интернет на сайтах и сервисах государственных органов – ФНС России, ФССП России, Росстата, судебных и других органов. При необходимости запрашивает официальные документы в государственных органах.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5.6. Если задолженность признана сомнительной, комиссия указывает в решении дату окончания срока возможного возобновления процедуры взыскания.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lastRenderedPageBreak/>
        <w:t xml:space="preserve">5.7.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5.8. Для признания дебиторской задолженности сомнительной или безнадежной к взысканию необходимы следующие документы: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а) инвентаризационная опись расчетов с покупателями, поставщиками и </w:t>
      </w:r>
      <w:proofErr w:type="gramStart"/>
      <w:r w:rsidRPr="0036410D">
        <w:rPr>
          <w:rFonts w:ascii="PT Astra Serif" w:hAnsi="PT Astra Serif"/>
          <w:sz w:val="28"/>
          <w:szCs w:val="28"/>
        </w:rPr>
        <w:t>прочими дебиторами</w:t>
      </w:r>
      <w:proofErr w:type="gramEnd"/>
      <w:r w:rsidRPr="0036410D">
        <w:rPr>
          <w:rFonts w:ascii="PT Astra Serif" w:hAnsi="PT Astra Serif"/>
          <w:sz w:val="28"/>
          <w:szCs w:val="28"/>
        </w:rPr>
        <w:t xml:space="preserve"> и кредиторами (ф. 0504089);</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б) выписка из бухгалтерской отчетности учреждения – по запросу комиссии;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в) справка о принятых мерах по взысканию задолженности – по запросу комиссии;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г) документы, подтверждающие случаи признания задолженности безнадежной к взысканию:</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документ, содержащий сведения из ЕГРЮЛ о ликвидации юридического лица или об отсутствии сведений о юридическом лице в ЕГРЮЛ;</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копия постановления о прекращении исполнительного производства;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копия решения суда об отказе в удовлетворении требований (части требований) о взыскании задолженности с должника;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копия решения арбитражного суда о признании организации банкротом и копия определения арбитражного суда о завершении конкурсного производства;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документ, содержащий сведения уполномоченного органа о наступлении чрезвычайных или других непредвиденных обстоятельств;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w:t>
      </w:r>
      <w:r w:rsidRPr="0036410D">
        <w:rPr>
          <w:rFonts w:ascii="PT Astra Serif" w:hAnsi="PT Astra Serif"/>
          <w:sz w:val="28"/>
          <w:szCs w:val="28"/>
        </w:rPr>
        <w:lastRenderedPageBreak/>
        <w:t xml:space="preserve">безвестно отсутствующим; д) документы, подтверждающие случаи признания задолженности сомнительной: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договор с контрагентом, выписка из него или копия договора;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5.9. Решение комиссии по поступлению и выбытию активов о признании задолженности сомнительной или безнадежной к взысканию оформляется актом, который содержит следующую информацию: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полное наименование учреждения;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идентификационный номер налогоплательщика, основной государственный регистрационный номер, код причины постановки на учет налогоплательщика;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реквизиты документов, по которым возникла дебиторская задолженность, – платежных документов, накладных, актов выполненных работ и т. д.;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сумма дебиторской задолженности, признанной сомнительной или безнадежной к взысканию; </w:t>
      </w:r>
    </w:p>
    <w:p w:rsidR="00C31FD4"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sym w:font="Symbol" w:char="F0B7"/>
      </w:r>
      <w:r w:rsidRPr="0036410D">
        <w:rPr>
          <w:rFonts w:ascii="PT Astra Serif" w:hAnsi="PT Astra Serif"/>
          <w:sz w:val="28"/>
          <w:szCs w:val="28"/>
        </w:rPr>
        <w:t xml:space="preserve"> дата принятия решения о признании дебиторской задолженности сомнительной или безнадежной к взысканию;</w:t>
      </w:r>
    </w:p>
    <w:p w:rsidR="007E0D12" w:rsidRPr="0036410D" w:rsidRDefault="0036410D" w:rsidP="007E0D12">
      <w:pPr>
        <w:pStyle w:val="a3"/>
        <w:spacing w:after="0" w:line="240" w:lineRule="auto"/>
        <w:ind w:left="0" w:firstLine="709"/>
        <w:jc w:val="both"/>
        <w:rPr>
          <w:rFonts w:ascii="PT Astra Serif" w:hAnsi="PT Astra Serif"/>
          <w:sz w:val="28"/>
          <w:szCs w:val="28"/>
        </w:rPr>
      </w:pPr>
      <w:r w:rsidRPr="0036410D">
        <w:rPr>
          <w:rFonts w:ascii="PT Astra Serif" w:hAnsi="PT Astra Serif"/>
          <w:sz w:val="28"/>
          <w:szCs w:val="28"/>
        </w:rPr>
        <w:t xml:space="preserve"> </w:t>
      </w:r>
      <w:r w:rsidRPr="0036410D">
        <w:rPr>
          <w:rFonts w:ascii="PT Astra Serif" w:hAnsi="PT Astra Serif"/>
          <w:sz w:val="28"/>
          <w:szCs w:val="28"/>
        </w:rPr>
        <w:sym w:font="Symbol" w:char="F0B7"/>
      </w:r>
      <w:r w:rsidRPr="0036410D">
        <w:rPr>
          <w:rFonts w:ascii="PT Astra Serif" w:hAnsi="PT Astra Serif"/>
          <w:sz w:val="28"/>
          <w:szCs w:val="28"/>
        </w:rPr>
        <w:t xml:space="preserve"> подписи членов комиссии. Решение комиссии о признании дебиторской задолженности сомнительной или безнадежной к взысканию утверждается </w:t>
      </w:r>
      <w:r w:rsidR="006D7EEF">
        <w:rPr>
          <w:rFonts w:ascii="PT Astra Serif" w:hAnsi="PT Astra Serif"/>
          <w:sz w:val="28"/>
          <w:szCs w:val="28"/>
        </w:rPr>
        <w:t>главой</w:t>
      </w:r>
      <w:r w:rsidRPr="0036410D">
        <w:rPr>
          <w:rFonts w:ascii="PT Astra Serif" w:hAnsi="PT Astra Serif"/>
          <w:sz w:val="28"/>
          <w:szCs w:val="28"/>
        </w:rPr>
        <w:t xml:space="preserve"> </w:t>
      </w:r>
      <w:r w:rsidR="006D7EEF">
        <w:rPr>
          <w:rFonts w:ascii="PT Astra Serif" w:hAnsi="PT Astra Serif"/>
          <w:sz w:val="28"/>
          <w:szCs w:val="28"/>
        </w:rPr>
        <w:t>администрации муниципального образования город Липки Киреевского района</w:t>
      </w:r>
      <w:r w:rsidRPr="0036410D">
        <w:rPr>
          <w:rFonts w:ascii="PT Astra Serif" w:hAnsi="PT Astra Serif"/>
          <w:sz w:val="28"/>
          <w:szCs w:val="28"/>
        </w:rPr>
        <w:t>.</w:t>
      </w:r>
    </w:p>
    <w:sectPr w:rsidR="007E0D12" w:rsidRPr="0036410D" w:rsidSect="001B6753">
      <w:headerReference w:type="default" r:id="rId8"/>
      <w:pgSz w:w="11906" w:h="16838"/>
      <w:pgMar w:top="851"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17" w:rsidRDefault="00F85E17" w:rsidP="00F62BB6">
      <w:pPr>
        <w:spacing w:after="0" w:line="240" w:lineRule="auto"/>
      </w:pPr>
      <w:r>
        <w:separator/>
      </w:r>
    </w:p>
  </w:endnote>
  <w:endnote w:type="continuationSeparator" w:id="0">
    <w:p w:rsidR="00F85E17" w:rsidRDefault="00F85E17" w:rsidP="00F6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17" w:rsidRDefault="00F85E17" w:rsidP="00F62BB6">
      <w:pPr>
        <w:spacing w:after="0" w:line="240" w:lineRule="auto"/>
      </w:pPr>
      <w:r>
        <w:separator/>
      </w:r>
    </w:p>
  </w:footnote>
  <w:footnote w:type="continuationSeparator" w:id="0">
    <w:p w:rsidR="00F85E17" w:rsidRDefault="00F85E17" w:rsidP="00F6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76386"/>
      <w:docPartObj>
        <w:docPartGallery w:val="Page Numbers (Top of Page)"/>
        <w:docPartUnique/>
      </w:docPartObj>
    </w:sdtPr>
    <w:sdtEndPr/>
    <w:sdtContent>
      <w:p w:rsidR="001B6753" w:rsidRDefault="001B6753">
        <w:pPr>
          <w:pStyle w:val="a8"/>
          <w:jc w:val="center"/>
        </w:pPr>
        <w:r>
          <w:fldChar w:fldCharType="begin"/>
        </w:r>
        <w:r>
          <w:instrText>PAGE   \* MERGEFORMAT</w:instrText>
        </w:r>
        <w:r>
          <w:fldChar w:fldCharType="separate"/>
        </w:r>
        <w:r w:rsidR="00C06B13">
          <w:rPr>
            <w:noProof/>
          </w:rPr>
          <w:t>2</w:t>
        </w:r>
        <w:r>
          <w:fldChar w:fldCharType="end"/>
        </w:r>
      </w:p>
    </w:sdtContent>
  </w:sdt>
  <w:p w:rsidR="001B6753" w:rsidRDefault="001B675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711"/>
    <w:multiLevelType w:val="hybridMultilevel"/>
    <w:tmpl w:val="52202BC0"/>
    <w:lvl w:ilvl="0" w:tplc="DAEE6F9C">
      <w:start w:val="1"/>
      <w:numFmt w:val="decimal"/>
      <w:lvlText w:val="%1."/>
      <w:lvlJc w:val="left"/>
      <w:pPr>
        <w:ind w:left="1069" w:hanging="360"/>
      </w:pPr>
      <w:rPr>
        <w:rFonts w:ascii="PT Astra Serif" w:eastAsia="Calibri"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385477"/>
    <w:multiLevelType w:val="hybridMultilevel"/>
    <w:tmpl w:val="44E689B6"/>
    <w:lvl w:ilvl="0" w:tplc="3A6EF688">
      <w:start w:val="1"/>
      <w:numFmt w:val="decimal"/>
      <w:lvlText w:val="%1."/>
      <w:lvlJc w:val="left"/>
      <w:pPr>
        <w:ind w:left="1515" w:hanging="39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15:restartNumberingAfterBreak="0">
    <w:nsid w:val="7E276DD2"/>
    <w:multiLevelType w:val="hybridMultilevel"/>
    <w:tmpl w:val="5D725616"/>
    <w:lvl w:ilvl="0" w:tplc="BCE2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7A"/>
    <w:rsid w:val="00007B8E"/>
    <w:rsid w:val="0001190A"/>
    <w:rsid w:val="00025C28"/>
    <w:rsid w:val="00053767"/>
    <w:rsid w:val="00083673"/>
    <w:rsid w:val="00086145"/>
    <w:rsid w:val="000A003E"/>
    <w:rsid w:val="000A3F31"/>
    <w:rsid w:val="000B099B"/>
    <w:rsid w:val="000B4090"/>
    <w:rsid w:val="000B5372"/>
    <w:rsid w:val="000C2FB1"/>
    <w:rsid w:val="000C60A9"/>
    <w:rsid w:val="000D1B23"/>
    <w:rsid w:val="000D5050"/>
    <w:rsid w:val="000D7D30"/>
    <w:rsid w:val="000F4C9A"/>
    <w:rsid w:val="001133B8"/>
    <w:rsid w:val="001166E7"/>
    <w:rsid w:val="00125732"/>
    <w:rsid w:val="0012573E"/>
    <w:rsid w:val="0013092F"/>
    <w:rsid w:val="001378EF"/>
    <w:rsid w:val="001428CF"/>
    <w:rsid w:val="001602F0"/>
    <w:rsid w:val="0018389F"/>
    <w:rsid w:val="0019075E"/>
    <w:rsid w:val="00191E47"/>
    <w:rsid w:val="00196EF0"/>
    <w:rsid w:val="001A7778"/>
    <w:rsid w:val="001B25F0"/>
    <w:rsid w:val="001B27D6"/>
    <w:rsid w:val="001B6753"/>
    <w:rsid w:val="001B6C5F"/>
    <w:rsid w:val="001C1468"/>
    <w:rsid w:val="001D492F"/>
    <w:rsid w:val="001E200F"/>
    <w:rsid w:val="001E28C2"/>
    <w:rsid w:val="001E2E29"/>
    <w:rsid w:val="001F29C4"/>
    <w:rsid w:val="002054AB"/>
    <w:rsid w:val="0020603C"/>
    <w:rsid w:val="0021013C"/>
    <w:rsid w:val="00217A7A"/>
    <w:rsid w:val="00220FBB"/>
    <w:rsid w:val="00227517"/>
    <w:rsid w:val="0024323D"/>
    <w:rsid w:val="00255FC0"/>
    <w:rsid w:val="002609F5"/>
    <w:rsid w:val="0028751C"/>
    <w:rsid w:val="00290124"/>
    <w:rsid w:val="002973F9"/>
    <w:rsid w:val="002C3DE7"/>
    <w:rsid w:val="00300758"/>
    <w:rsid w:val="00320044"/>
    <w:rsid w:val="003310A0"/>
    <w:rsid w:val="0034709C"/>
    <w:rsid w:val="0035225F"/>
    <w:rsid w:val="00353C09"/>
    <w:rsid w:val="003617B8"/>
    <w:rsid w:val="00361C14"/>
    <w:rsid w:val="0036410D"/>
    <w:rsid w:val="003A1079"/>
    <w:rsid w:val="003A7BC9"/>
    <w:rsid w:val="003C199B"/>
    <w:rsid w:val="003D768C"/>
    <w:rsid w:val="003D7F32"/>
    <w:rsid w:val="003E0AC4"/>
    <w:rsid w:val="003E54F3"/>
    <w:rsid w:val="003F54B6"/>
    <w:rsid w:val="003F6C22"/>
    <w:rsid w:val="00430047"/>
    <w:rsid w:val="00441443"/>
    <w:rsid w:val="00442913"/>
    <w:rsid w:val="0044653D"/>
    <w:rsid w:val="0045418A"/>
    <w:rsid w:val="00461A4A"/>
    <w:rsid w:val="00464BC4"/>
    <w:rsid w:val="00466AD8"/>
    <w:rsid w:val="00482845"/>
    <w:rsid w:val="00487A7F"/>
    <w:rsid w:val="004A2AC0"/>
    <w:rsid w:val="004A43C0"/>
    <w:rsid w:val="004B40C1"/>
    <w:rsid w:val="004B6D67"/>
    <w:rsid w:val="004C4D4B"/>
    <w:rsid w:val="004C574A"/>
    <w:rsid w:val="004E1D23"/>
    <w:rsid w:val="004E26B9"/>
    <w:rsid w:val="004F4267"/>
    <w:rsid w:val="004F74D9"/>
    <w:rsid w:val="005013E7"/>
    <w:rsid w:val="005034D2"/>
    <w:rsid w:val="00504012"/>
    <w:rsid w:val="00505A2E"/>
    <w:rsid w:val="00516722"/>
    <w:rsid w:val="00520867"/>
    <w:rsid w:val="00530B18"/>
    <w:rsid w:val="00551883"/>
    <w:rsid w:val="00565FD3"/>
    <w:rsid w:val="00567DC1"/>
    <w:rsid w:val="0059433F"/>
    <w:rsid w:val="00595D37"/>
    <w:rsid w:val="005A00F4"/>
    <w:rsid w:val="005C1297"/>
    <w:rsid w:val="005D1A2B"/>
    <w:rsid w:val="005F5614"/>
    <w:rsid w:val="00603238"/>
    <w:rsid w:val="00610110"/>
    <w:rsid w:val="006368AB"/>
    <w:rsid w:val="006478EB"/>
    <w:rsid w:val="00647A28"/>
    <w:rsid w:val="00666C65"/>
    <w:rsid w:val="00671F17"/>
    <w:rsid w:val="00673276"/>
    <w:rsid w:val="00682CD2"/>
    <w:rsid w:val="00685C1D"/>
    <w:rsid w:val="00686203"/>
    <w:rsid w:val="006873AE"/>
    <w:rsid w:val="00693582"/>
    <w:rsid w:val="006938BB"/>
    <w:rsid w:val="006A2F1A"/>
    <w:rsid w:val="006C7944"/>
    <w:rsid w:val="006D6D5F"/>
    <w:rsid w:val="006D7EEF"/>
    <w:rsid w:val="006E07B3"/>
    <w:rsid w:val="006E2C5E"/>
    <w:rsid w:val="006E4662"/>
    <w:rsid w:val="006F0EF9"/>
    <w:rsid w:val="006F56A9"/>
    <w:rsid w:val="007031B1"/>
    <w:rsid w:val="007106F6"/>
    <w:rsid w:val="00714B66"/>
    <w:rsid w:val="007552A9"/>
    <w:rsid w:val="00761611"/>
    <w:rsid w:val="00763045"/>
    <w:rsid w:val="00770788"/>
    <w:rsid w:val="00772D85"/>
    <w:rsid w:val="0079019E"/>
    <w:rsid w:val="00790F25"/>
    <w:rsid w:val="007B0A5A"/>
    <w:rsid w:val="007B2A5B"/>
    <w:rsid w:val="007E0D12"/>
    <w:rsid w:val="007E6E68"/>
    <w:rsid w:val="007F20E9"/>
    <w:rsid w:val="0080172C"/>
    <w:rsid w:val="00801F6E"/>
    <w:rsid w:val="00816C41"/>
    <w:rsid w:val="00833144"/>
    <w:rsid w:val="00844626"/>
    <w:rsid w:val="00852C75"/>
    <w:rsid w:val="00891E42"/>
    <w:rsid w:val="00893C70"/>
    <w:rsid w:val="008970D4"/>
    <w:rsid w:val="008A2FD6"/>
    <w:rsid w:val="008A76C6"/>
    <w:rsid w:val="008B138C"/>
    <w:rsid w:val="008D4394"/>
    <w:rsid w:val="008F36D6"/>
    <w:rsid w:val="008F47C8"/>
    <w:rsid w:val="008F6838"/>
    <w:rsid w:val="0091065E"/>
    <w:rsid w:val="00911561"/>
    <w:rsid w:val="00913EE4"/>
    <w:rsid w:val="00917DDB"/>
    <w:rsid w:val="009202C7"/>
    <w:rsid w:val="00922B5B"/>
    <w:rsid w:val="00966E8F"/>
    <w:rsid w:val="00970563"/>
    <w:rsid w:val="0098311D"/>
    <w:rsid w:val="009844E1"/>
    <w:rsid w:val="00986A7D"/>
    <w:rsid w:val="0099031B"/>
    <w:rsid w:val="00990C94"/>
    <w:rsid w:val="009B016A"/>
    <w:rsid w:val="009B19D1"/>
    <w:rsid w:val="009B1BE4"/>
    <w:rsid w:val="009B1FE6"/>
    <w:rsid w:val="009B494E"/>
    <w:rsid w:val="009C11FB"/>
    <w:rsid w:val="009D0F42"/>
    <w:rsid w:val="009D11EF"/>
    <w:rsid w:val="009D17C5"/>
    <w:rsid w:val="009E709F"/>
    <w:rsid w:val="009F03F1"/>
    <w:rsid w:val="009F14C1"/>
    <w:rsid w:val="00A1180A"/>
    <w:rsid w:val="00A15EC5"/>
    <w:rsid w:val="00A23480"/>
    <w:rsid w:val="00A316C6"/>
    <w:rsid w:val="00A424D1"/>
    <w:rsid w:val="00A75F32"/>
    <w:rsid w:val="00A83627"/>
    <w:rsid w:val="00A866B8"/>
    <w:rsid w:val="00AA6E3E"/>
    <w:rsid w:val="00AD19A7"/>
    <w:rsid w:val="00AD3A11"/>
    <w:rsid w:val="00AE775D"/>
    <w:rsid w:val="00B00D72"/>
    <w:rsid w:val="00B01315"/>
    <w:rsid w:val="00B11706"/>
    <w:rsid w:val="00B16944"/>
    <w:rsid w:val="00B325D8"/>
    <w:rsid w:val="00B34BBF"/>
    <w:rsid w:val="00B5187E"/>
    <w:rsid w:val="00B57CC6"/>
    <w:rsid w:val="00B72249"/>
    <w:rsid w:val="00B77D01"/>
    <w:rsid w:val="00B91CAE"/>
    <w:rsid w:val="00B924C9"/>
    <w:rsid w:val="00BA127B"/>
    <w:rsid w:val="00BA6A56"/>
    <w:rsid w:val="00BB6555"/>
    <w:rsid w:val="00BD03EE"/>
    <w:rsid w:val="00BD36A1"/>
    <w:rsid w:val="00BE24C3"/>
    <w:rsid w:val="00BE425B"/>
    <w:rsid w:val="00BE6965"/>
    <w:rsid w:val="00C06B13"/>
    <w:rsid w:val="00C21EA1"/>
    <w:rsid w:val="00C2361E"/>
    <w:rsid w:val="00C31FD4"/>
    <w:rsid w:val="00C40F1D"/>
    <w:rsid w:val="00C40FF3"/>
    <w:rsid w:val="00C413BB"/>
    <w:rsid w:val="00C46A0E"/>
    <w:rsid w:val="00C56B3D"/>
    <w:rsid w:val="00C6257A"/>
    <w:rsid w:val="00C66081"/>
    <w:rsid w:val="00C83D53"/>
    <w:rsid w:val="00C85788"/>
    <w:rsid w:val="00C94B1F"/>
    <w:rsid w:val="00C96157"/>
    <w:rsid w:val="00CA5441"/>
    <w:rsid w:val="00CA7163"/>
    <w:rsid w:val="00CB2A3C"/>
    <w:rsid w:val="00CB438F"/>
    <w:rsid w:val="00CB5800"/>
    <w:rsid w:val="00CB61EB"/>
    <w:rsid w:val="00CB6C41"/>
    <w:rsid w:val="00CC2778"/>
    <w:rsid w:val="00CC61AE"/>
    <w:rsid w:val="00CE375D"/>
    <w:rsid w:val="00CE6A18"/>
    <w:rsid w:val="00CF5EF7"/>
    <w:rsid w:val="00D04AA2"/>
    <w:rsid w:val="00D140A2"/>
    <w:rsid w:val="00D65482"/>
    <w:rsid w:val="00D8030C"/>
    <w:rsid w:val="00D87260"/>
    <w:rsid w:val="00D95E34"/>
    <w:rsid w:val="00D97138"/>
    <w:rsid w:val="00DA0340"/>
    <w:rsid w:val="00DA4BD7"/>
    <w:rsid w:val="00DA7C7F"/>
    <w:rsid w:val="00DD2F04"/>
    <w:rsid w:val="00DD765E"/>
    <w:rsid w:val="00DF28CA"/>
    <w:rsid w:val="00E01129"/>
    <w:rsid w:val="00E057CA"/>
    <w:rsid w:val="00E15C9A"/>
    <w:rsid w:val="00E15CBB"/>
    <w:rsid w:val="00E23602"/>
    <w:rsid w:val="00E37137"/>
    <w:rsid w:val="00E377EB"/>
    <w:rsid w:val="00E42334"/>
    <w:rsid w:val="00E43A92"/>
    <w:rsid w:val="00E551E5"/>
    <w:rsid w:val="00E567F3"/>
    <w:rsid w:val="00E56D25"/>
    <w:rsid w:val="00E62D03"/>
    <w:rsid w:val="00E64ECF"/>
    <w:rsid w:val="00E65057"/>
    <w:rsid w:val="00E677B6"/>
    <w:rsid w:val="00E70A14"/>
    <w:rsid w:val="00E75BC4"/>
    <w:rsid w:val="00E80E26"/>
    <w:rsid w:val="00E8133F"/>
    <w:rsid w:val="00EB1CC4"/>
    <w:rsid w:val="00EB6272"/>
    <w:rsid w:val="00ED455D"/>
    <w:rsid w:val="00EE718A"/>
    <w:rsid w:val="00EE79B1"/>
    <w:rsid w:val="00EF7200"/>
    <w:rsid w:val="00EF78A4"/>
    <w:rsid w:val="00F0095B"/>
    <w:rsid w:val="00F11C32"/>
    <w:rsid w:val="00F21FE9"/>
    <w:rsid w:val="00F25EB0"/>
    <w:rsid w:val="00F27686"/>
    <w:rsid w:val="00F331AA"/>
    <w:rsid w:val="00F3328D"/>
    <w:rsid w:val="00F368BA"/>
    <w:rsid w:val="00F52F2A"/>
    <w:rsid w:val="00F60390"/>
    <w:rsid w:val="00F62BB6"/>
    <w:rsid w:val="00F67637"/>
    <w:rsid w:val="00F7280B"/>
    <w:rsid w:val="00F85E17"/>
    <w:rsid w:val="00F93F12"/>
    <w:rsid w:val="00FA7EAB"/>
    <w:rsid w:val="00FB10EF"/>
    <w:rsid w:val="00FB23E6"/>
    <w:rsid w:val="00FC3F68"/>
    <w:rsid w:val="00FC50DF"/>
    <w:rsid w:val="00FD6FB9"/>
    <w:rsid w:val="00FE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B5A"/>
  <w15:docId w15:val="{5FF6BF94-BDC2-4614-85AF-9691EE23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D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F32"/>
    <w:pPr>
      <w:ind w:left="720"/>
      <w:contextualSpacing/>
    </w:pPr>
  </w:style>
  <w:style w:type="table" w:styleId="a4">
    <w:name w:val="Table Grid"/>
    <w:basedOn w:val="a1"/>
    <w:uiPriority w:val="59"/>
    <w:rsid w:val="00B3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7EAB"/>
    <w:pPr>
      <w:spacing w:after="0" w:line="240" w:lineRule="auto"/>
    </w:pPr>
    <w:rPr>
      <w:rFonts w:ascii="Tahoma" w:hAnsi="Tahoma"/>
      <w:sz w:val="16"/>
      <w:szCs w:val="16"/>
    </w:rPr>
  </w:style>
  <w:style w:type="character" w:customStyle="1" w:styleId="a6">
    <w:name w:val="Текст выноски Знак"/>
    <w:link w:val="a5"/>
    <w:uiPriority w:val="99"/>
    <w:semiHidden/>
    <w:rsid w:val="00FA7EAB"/>
    <w:rPr>
      <w:rFonts w:ascii="Tahoma" w:hAnsi="Tahoma" w:cs="Tahoma"/>
      <w:sz w:val="16"/>
      <w:szCs w:val="16"/>
    </w:rPr>
  </w:style>
  <w:style w:type="paragraph" w:styleId="a7">
    <w:name w:val="No Spacing"/>
    <w:uiPriority w:val="1"/>
    <w:qFormat/>
    <w:rsid w:val="004E26B9"/>
    <w:rPr>
      <w:rFonts w:asciiTheme="minorHAnsi" w:eastAsiaTheme="minorEastAsia" w:hAnsiTheme="minorHAnsi" w:cstheme="minorBidi"/>
      <w:sz w:val="22"/>
      <w:szCs w:val="22"/>
    </w:rPr>
  </w:style>
  <w:style w:type="paragraph" w:styleId="a8">
    <w:name w:val="header"/>
    <w:basedOn w:val="a"/>
    <w:link w:val="a9"/>
    <w:uiPriority w:val="99"/>
    <w:unhideWhenUsed/>
    <w:rsid w:val="00F62B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2BB6"/>
    <w:rPr>
      <w:sz w:val="22"/>
      <w:szCs w:val="22"/>
      <w:lang w:eastAsia="en-US"/>
    </w:rPr>
  </w:style>
  <w:style w:type="paragraph" w:styleId="aa">
    <w:name w:val="footer"/>
    <w:basedOn w:val="a"/>
    <w:link w:val="ab"/>
    <w:uiPriority w:val="99"/>
    <w:unhideWhenUsed/>
    <w:rsid w:val="00F62B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2BB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64514">
      <w:bodyDiv w:val="1"/>
      <w:marLeft w:val="0"/>
      <w:marRight w:val="0"/>
      <w:marTop w:val="0"/>
      <w:marBottom w:val="0"/>
      <w:divBdr>
        <w:top w:val="none" w:sz="0" w:space="0" w:color="auto"/>
        <w:left w:val="none" w:sz="0" w:space="0" w:color="auto"/>
        <w:bottom w:val="none" w:sz="0" w:space="0" w:color="auto"/>
        <w:right w:val="none" w:sz="0" w:space="0" w:color="auto"/>
      </w:divBdr>
    </w:div>
    <w:div w:id="1021204047">
      <w:bodyDiv w:val="1"/>
      <w:marLeft w:val="0"/>
      <w:marRight w:val="0"/>
      <w:marTop w:val="0"/>
      <w:marBottom w:val="0"/>
      <w:divBdr>
        <w:top w:val="none" w:sz="0" w:space="0" w:color="auto"/>
        <w:left w:val="none" w:sz="0" w:space="0" w:color="auto"/>
        <w:bottom w:val="none" w:sz="0" w:space="0" w:color="auto"/>
        <w:right w:val="none" w:sz="0" w:space="0" w:color="auto"/>
      </w:divBdr>
    </w:div>
    <w:div w:id="1170101400">
      <w:bodyDiv w:val="1"/>
      <w:marLeft w:val="0"/>
      <w:marRight w:val="0"/>
      <w:marTop w:val="0"/>
      <w:marBottom w:val="0"/>
      <w:divBdr>
        <w:top w:val="none" w:sz="0" w:space="0" w:color="auto"/>
        <w:left w:val="none" w:sz="0" w:space="0" w:color="auto"/>
        <w:bottom w:val="none" w:sz="0" w:space="0" w:color="auto"/>
        <w:right w:val="none" w:sz="0" w:space="0" w:color="auto"/>
      </w:divBdr>
    </w:div>
    <w:div w:id="1177380715">
      <w:bodyDiv w:val="1"/>
      <w:marLeft w:val="0"/>
      <w:marRight w:val="0"/>
      <w:marTop w:val="0"/>
      <w:marBottom w:val="0"/>
      <w:divBdr>
        <w:top w:val="none" w:sz="0" w:space="0" w:color="auto"/>
        <w:left w:val="none" w:sz="0" w:space="0" w:color="auto"/>
        <w:bottom w:val="none" w:sz="0" w:space="0" w:color="auto"/>
        <w:right w:val="none" w:sz="0" w:space="0" w:color="auto"/>
      </w:divBdr>
    </w:div>
    <w:div w:id="1238785612">
      <w:bodyDiv w:val="1"/>
      <w:marLeft w:val="0"/>
      <w:marRight w:val="0"/>
      <w:marTop w:val="0"/>
      <w:marBottom w:val="0"/>
      <w:divBdr>
        <w:top w:val="none" w:sz="0" w:space="0" w:color="auto"/>
        <w:left w:val="none" w:sz="0" w:space="0" w:color="auto"/>
        <w:bottom w:val="none" w:sz="0" w:space="0" w:color="auto"/>
        <w:right w:val="none" w:sz="0" w:space="0" w:color="auto"/>
      </w:divBdr>
    </w:div>
    <w:div w:id="1647776609">
      <w:bodyDiv w:val="1"/>
      <w:marLeft w:val="0"/>
      <w:marRight w:val="0"/>
      <w:marTop w:val="0"/>
      <w:marBottom w:val="0"/>
      <w:divBdr>
        <w:top w:val="none" w:sz="0" w:space="0" w:color="auto"/>
        <w:left w:val="none" w:sz="0" w:space="0" w:color="auto"/>
        <w:bottom w:val="none" w:sz="0" w:space="0" w:color="auto"/>
        <w:right w:val="none" w:sz="0" w:space="0" w:color="auto"/>
      </w:divBdr>
    </w:div>
    <w:div w:id="20760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F548-AA14-4025-BD9B-73393354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3359</Words>
  <Characters>19151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Финансовое управление администрации муниципального образования Киреевский район</vt:lpstr>
    </vt:vector>
  </TitlesOfParts>
  <Company>Microsoft</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управление администрации муниципального образования Киреевский район</dc:title>
  <dc:creator>Kulikova</dc:creator>
  <cp:lastModifiedBy>User</cp:lastModifiedBy>
  <cp:revision>15</cp:revision>
  <cp:lastPrinted>2024-12-16T11:07:00Z</cp:lastPrinted>
  <dcterms:created xsi:type="dcterms:W3CDTF">2024-07-24T12:09:00Z</dcterms:created>
  <dcterms:modified xsi:type="dcterms:W3CDTF">2024-12-25T12:56:00Z</dcterms:modified>
</cp:coreProperties>
</file>