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A66389" w:rsidP="00CD5CF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9346D">
              <w:rPr>
                <w:rFonts w:ascii="PT Astra Serif" w:hAnsi="PT Astra Serif"/>
                <w:sz w:val="28"/>
                <w:szCs w:val="28"/>
              </w:rPr>
              <w:t>09 июня 2022</w:t>
            </w:r>
            <w:r w:rsidR="004900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E6036" w:rsidRPr="00CD5CFA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B73245" w:rsidRPr="00CD5CFA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220B23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41524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3860C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9346D">
              <w:rPr>
                <w:rFonts w:ascii="PT Astra Serif" w:hAnsi="PT Astra Serif"/>
                <w:sz w:val="28"/>
                <w:szCs w:val="28"/>
              </w:rPr>
              <w:t xml:space="preserve"> 71</w:t>
            </w:r>
          </w:p>
        </w:tc>
      </w:tr>
    </w:tbl>
    <w:p w:rsidR="00DE3321" w:rsidRPr="00CD5CFA" w:rsidRDefault="00DE3321" w:rsidP="00CD5CFA">
      <w:pPr>
        <w:rPr>
          <w:rFonts w:ascii="PT Astra Serif" w:hAnsi="PT Astra Serif"/>
          <w:sz w:val="28"/>
          <w:szCs w:val="28"/>
        </w:rPr>
      </w:pPr>
    </w:p>
    <w:p w:rsidR="00B80489" w:rsidRPr="0000026E" w:rsidRDefault="00B80489" w:rsidP="00B804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026E">
        <w:rPr>
          <w:rFonts w:ascii="PT Astra Serif" w:hAnsi="PT Astra Serif" w:cs="PT Astra Serif"/>
          <w:b/>
          <w:sz w:val="28"/>
          <w:szCs w:val="28"/>
        </w:rPr>
        <w:t xml:space="preserve">О </w:t>
      </w:r>
      <w:r w:rsidRPr="0000026E">
        <w:rPr>
          <w:b/>
          <w:sz w:val="28"/>
          <w:szCs w:val="28"/>
        </w:rPr>
        <w:t xml:space="preserve">порядке рассмотрения предложений о возможности заключения муниципального контракта, контракта, договора с </w:t>
      </w:r>
      <w:r w:rsidRPr="0000026E">
        <w:rPr>
          <w:rFonts w:ascii="PT Astra Serif" w:hAnsi="PT Astra Serif" w:cs="PT Astra Serif"/>
          <w:b/>
          <w:sz w:val="28"/>
          <w:szCs w:val="28"/>
        </w:rPr>
        <w:t xml:space="preserve">единственным поставщиком (подрядчиком, исполнителем) в целях обеспечения муниципальных нужд муниципального образования </w:t>
      </w:r>
      <w:r w:rsidR="00490053">
        <w:rPr>
          <w:rFonts w:ascii="PT Astra Serif" w:hAnsi="PT Astra Serif" w:cs="PT Astra Serif"/>
          <w:b/>
          <w:sz w:val="28"/>
          <w:szCs w:val="28"/>
        </w:rPr>
        <w:t>город Липки Киреевского</w:t>
      </w:r>
      <w:r w:rsidRPr="0000026E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490053">
        <w:rPr>
          <w:rFonts w:ascii="PT Astra Serif" w:hAnsi="PT Astra Serif" w:cs="PT Astra Serif"/>
          <w:b/>
          <w:sz w:val="28"/>
          <w:szCs w:val="28"/>
        </w:rPr>
        <w:t>а</w:t>
      </w:r>
    </w:p>
    <w:p w:rsidR="00B80489" w:rsidRDefault="00B80489" w:rsidP="00B80489">
      <w:pPr>
        <w:rPr>
          <w:rFonts w:ascii="PT Astra Serif" w:hAnsi="PT Astra Serif" w:cs="PT Astra Serif"/>
          <w:sz w:val="28"/>
          <w:szCs w:val="28"/>
        </w:rPr>
      </w:pPr>
    </w:p>
    <w:p w:rsidR="00B80489" w:rsidRPr="0071671D" w:rsidRDefault="00B80489" w:rsidP="0049005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hyperlink r:id="rId7" w:history="1">
        <w:r w:rsidRPr="0071671D">
          <w:rPr>
            <w:rFonts w:ascii="PT Astra Serif" w:hAnsi="PT Astra Serif" w:cs="PT Astra Serif"/>
            <w:color w:val="000000"/>
            <w:sz w:val="28"/>
            <w:szCs w:val="28"/>
          </w:rPr>
          <w:t>частью 2 статьи 15</w:t>
        </w:r>
      </w:hyperlink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Федерального закона от 8 марта 2022 года N 46-ФЗ "О внесении изменений в отдельные законодательные акты Российской Федерации", 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бласти"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br/>
        <w:t xml:space="preserve">на основании 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Устава муниципального образования 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администрация муниципального образования 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</w:t>
      </w:r>
      <w:r w:rsidRPr="0071671D">
        <w:rPr>
          <w:rFonts w:ascii="PT Astra Serif" w:hAnsi="PT Astra Serif"/>
          <w:sz w:val="28"/>
          <w:szCs w:val="28"/>
        </w:rPr>
        <w:t>:</w:t>
      </w:r>
    </w:p>
    <w:p w:rsidR="00B80489" w:rsidRPr="0071671D" w:rsidRDefault="00B80489" w:rsidP="00490053">
      <w:pPr>
        <w:pStyle w:val="ConsPlusNormal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71671D">
        <w:rPr>
          <w:rFonts w:ascii="PT Astra Serif" w:hAnsi="PT Astra Serif"/>
          <w:sz w:val="28"/>
          <w:szCs w:val="28"/>
        </w:rPr>
        <w:t xml:space="preserve">1. Утвердить </w:t>
      </w:r>
      <w:proofErr w:type="gramStart"/>
      <w:r w:rsidRPr="0071671D">
        <w:rPr>
          <w:rFonts w:ascii="PT Astra Serif" w:hAnsi="PT Astra Serif"/>
          <w:sz w:val="28"/>
          <w:szCs w:val="28"/>
        </w:rPr>
        <w:t>порядок  рассмотрения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предложений о возможности </w:t>
      </w:r>
      <w:r w:rsidRPr="0071671D">
        <w:rPr>
          <w:rFonts w:ascii="PT Astra Serif" w:hAnsi="PT Astra Serif" w:cs="Times New Roman"/>
          <w:sz w:val="28"/>
          <w:szCs w:val="28"/>
        </w:rPr>
        <w:t xml:space="preserve">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  <w:r w:rsidR="00490053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490053">
        <w:rPr>
          <w:rFonts w:ascii="PT Astra Serif" w:hAnsi="PT Astra Serif" w:cs="Times New Roman"/>
          <w:sz w:val="28"/>
          <w:szCs w:val="28"/>
        </w:rPr>
        <w:t>а</w:t>
      </w:r>
      <w:r w:rsidRPr="0071671D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(приложение №1).</w:t>
      </w:r>
      <w:bookmarkStart w:id="1" w:name="P15"/>
      <w:bookmarkEnd w:id="1"/>
    </w:p>
    <w:p w:rsidR="00B80489" w:rsidRPr="0071671D" w:rsidRDefault="00B80489" w:rsidP="00490053">
      <w:pPr>
        <w:tabs>
          <w:tab w:val="left" w:pos="1080"/>
        </w:tabs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2. Утвердить состав комиссии по 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490053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(приложение № 2).</w:t>
      </w:r>
    </w:p>
    <w:p w:rsidR="00490053" w:rsidRPr="00663B91" w:rsidRDefault="00B80489" w:rsidP="00490053">
      <w:pPr>
        <w:pStyle w:val="ae"/>
        <w:shd w:val="clear" w:color="auto" w:fill="FFFFFF"/>
        <w:tabs>
          <w:tab w:val="left" w:pos="-284"/>
        </w:tabs>
        <w:suppressAutoHyphens/>
        <w:adjustRightInd w:val="0"/>
        <w:ind w:firstLine="709"/>
        <w:rPr>
          <w:rFonts w:ascii="PT Astra Serif" w:hAnsi="PT Astra Serif"/>
          <w:szCs w:val="28"/>
        </w:rPr>
      </w:pPr>
      <w:r w:rsidRPr="0071671D">
        <w:rPr>
          <w:rFonts w:ascii="PT Astra Serif" w:hAnsi="PT Astra Serif"/>
          <w:szCs w:val="28"/>
          <w:lang w:eastAsia="zh-CN"/>
        </w:rPr>
        <w:t xml:space="preserve">3. Разместить постановление на официальном </w:t>
      </w:r>
      <w:r w:rsidR="00490053">
        <w:rPr>
          <w:rFonts w:ascii="PT Astra Serif" w:hAnsi="PT Astra Serif" w:cs="PT Astra Serif"/>
          <w:color w:val="000000"/>
          <w:szCs w:val="28"/>
        </w:rPr>
        <w:t>сайте муниципального образования Киреевский район в сети интернет (</w:t>
      </w:r>
      <w:r w:rsidR="00490053">
        <w:rPr>
          <w:rFonts w:ascii="PT Astra Serif" w:hAnsi="PT Astra Serif" w:cs="PT Astra Serif"/>
          <w:color w:val="000000"/>
          <w:szCs w:val="28"/>
          <w:lang w:val="en-US"/>
        </w:rPr>
        <w:t>www</w:t>
      </w:r>
      <w:r w:rsidR="00490053" w:rsidRPr="00D00C38">
        <w:rPr>
          <w:rFonts w:ascii="PT Astra Serif" w:hAnsi="PT Astra Serif" w:cs="PT Astra Serif"/>
          <w:color w:val="000000"/>
          <w:szCs w:val="28"/>
        </w:rPr>
        <w:t>.</w:t>
      </w:r>
      <w:proofErr w:type="spellStart"/>
      <w:r w:rsidR="00490053">
        <w:rPr>
          <w:rFonts w:ascii="PT Astra Serif" w:hAnsi="PT Astra Serif" w:cs="PT Astra Serif"/>
          <w:color w:val="000000"/>
          <w:szCs w:val="28"/>
          <w:lang w:val="en-US"/>
        </w:rPr>
        <w:t>kireevsk</w:t>
      </w:r>
      <w:proofErr w:type="spellEnd"/>
      <w:r w:rsidR="00490053" w:rsidRPr="00D00C38">
        <w:rPr>
          <w:rFonts w:ascii="PT Astra Serif" w:hAnsi="PT Astra Serif" w:cs="PT Astra Serif"/>
          <w:color w:val="000000"/>
          <w:szCs w:val="28"/>
        </w:rPr>
        <w:t>.</w:t>
      </w:r>
      <w:proofErr w:type="spellStart"/>
      <w:r w:rsidR="00490053">
        <w:rPr>
          <w:rFonts w:ascii="PT Astra Serif" w:hAnsi="PT Astra Serif" w:cs="PT Astra Serif"/>
          <w:color w:val="000000"/>
          <w:szCs w:val="28"/>
          <w:lang w:val="en-US"/>
        </w:rPr>
        <w:t>tularegion</w:t>
      </w:r>
      <w:proofErr w:type="spellEnd"/>
      <w:r w:rsidR="00490053" w:rsidRPr="00D00C38">
        <w:rPr>
          <w:rFonts w:ascii="PT Astra Serif" w:hAnsi="PT Astra Serif" w:cs="PT Astra Serif"/>
          <w:color w:val="000000"/>
          <w:szCs w:val="28"/>
        </w:rPr>
        <w:t>.</w:t>
      </w:r>
      <w:proofErr w:type="spellStart"/>
      <w:r w:rsidR="00490053">
        <w:rPr>
          <w:rFonts w:ascii="PT Astra Serif" w:hAnsi="PT Astra Serif" w:cs="PT Astra Serif"/>
          <w:color w:val="000000"/>
          <w:szCs w:val="28"/>
          <w:lang w:val="en-US"/>
        </w:rPr>
        <w:t>ru</w:t>
      </w:r>
      <w:proofErr w:type="spellEnd"/>
      <w:r w:rsidR="00490053" w:rsidRPr="00D00C38">
        <w:rPr>
          <w:rFonts w:ascii="PT Astra Serif" w:hAnsi="PT Astra Serif" w:cs="PT Astra Serif"/>
          <w:color w:val="000000"/>
          <w:szCs w:val="28"/>
        </w:rPr>
        <w:t>)</w:t>
      </w:r>
      <w:r w:rsidR="00490053" w:rsidRPr="0037611B">
        <w:rPr>
          <w:rFonts w:ascii="PT Astra Serif" w:hAnsi="PT Astra Serif"/>
          <w:szCs w:val="28"/>
        </w:rPr>
        <w:t xml:space="preserve"> </w:t>
      </w:r>
      <w:r w:rsidR="00490053" w:rsidRPr="00663B91">
        <w:rPr>
          <w:rFonts w:ascii="PT Astra Serif" w:hAnsi="PT Astra Serif"/>
          <w:szCs w:val="28"/>
        </w:rPr>
        <w:t xml:space="preserve">в подразделе администрация муниципального образования город Липки Киреевского района. </w:t>
      </w:r>
    </w:p>
    <w:p w:rsidR="00B80489" w:rsidRDefault="009923F4" w:rsidP="0049005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4</w:t>
      </w:r>
      <w:r w:rsidR="00B80489" w:rsidRPr="0071671D">
        <w:rPr>
          <w:rFonts w:ascii="PT Astra Serif" w:hAnsi="PT Astra Serif" w:cs="Times New Roman"/>
          <w:sz w:val="28"/>
          <w:szCs w:val="28"/>
          <w:lang w:eastAsia="zh-CN"/>
        </w:rPr>
        <w:t>. Постановление вступает в силу со дня официального опубликования.</w:t>
      </w:r>
    </w:p>
    <w:p w:rsidR="00206E67" w:rsidRDefault="00206E67" w:rsidP="00490053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07B8" w:rsidRPr="00CD5CFA" w:rsidTr="007329E2">
        <w:tc>
          <w:tcPr>
            <w:tcW w:w="4785" w:type="dxa"/>
          </w:tcPr>
          <w:p w:rsidR="00BE07B8" w:rsidRPr="00CD5CFA" w:rsidRDefault="009046C3" w:rsidP="00904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CD5CFA" w:rsidRDefault="00B05FA8" w:rsidP="00CD5CF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BE07B8" w:rsidRPr="00CD5CFA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CD5CFA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CD5CFA" w:rsidRDefault="00BE07B8" w:rsidP="00CD5C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CA4DE5" w:rsidRPr="00CD5CFA" w:rsidRDefault="00CA4DE5" w:rsidP="00206E67">
      <w:pPr>
        <w:ind w:firstLine="709"/>
        <w:rPr>
          <w:rFonts w:ascii="PT Astra Serif" w:hAnsi="PT Astra Serif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B80489" w:rsidRPr="00EF2926" w:rsidTr="00273D28">
        <w:trPr>
          <w:trHeight w:val="1084"/>
        </w:trPr>
        <w:tc>
          <w:tcPr>
            <w:tcW w:w="4111" w:type="dxa"/>
          </w:tcPr>
          <w:p w:rsidR="00B80489" w:rsidRPr="00EF2926" w:rsidRDefault="00B80489" w:rsidP="00206E67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B80489" w:rsidRPr="00B120A5" w:rsidRDefault="00B80489" w:rsidP="00206E67">
            <w:pPr>
              <w:pStyle w:val="af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120A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Pr="00B120A5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B80489" w:rsidRDefault="0029346D" w:rsidP="00206E6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09.06.2022г.  № 71</w:t>
            </w:r>
          </w:p>
          <w:p w:rsidR="00B80489" w:rsidRPr="00EF2926" w:rsidRDefault="00B80489" w:rsidP="00206E67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B80489" w:rsidRPr="00EF2926" w:rsidTr="00273D28">
        <w:trPr>
          <w:cantSplit/>
        </w:trPr>
        <w:tc>
          <w:tcPr>
            <w:tcW w:w="4111" w:type="dxa"/>
          </w:tcPr>
          <w:p w:rsidR="00B80489" w:rsidRPr="00EF2926" w:rsidRDefault="00B80489" w:rsidP="00206E67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B80489" w:rsidRPr="00292F83" w:rsidRDefault="00B80489" w:rsidP="00206E67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B80489" w:rsidRPr="00BA5A61" w:rsidRDefault="00B80489" w:rsidP="00206E67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B80489" w:rsidRDefault="00B80489" w:rsidP="00206E67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15E90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br/>
        <w:t xml:space="preserve">рассмотрения предложений о возможности </w:t>
      </w:r>
      <w:r w:rsidRPr="0000026E">
        <w:rPr>
          <w:rFonts w:ascii="PT Astra Serif" w:hAnsi="PT Astra Serif" w:cs="Times New Roman"/>
          <w:sz w:val="28"/>
          <w:szCs w:val="28"/>
        </w:rPr>
        <w:t xml:space="preserve">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  <w:r w:rsidR="00490053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Pr="0000026E">
        <w:rPr>
          <w:rFonts w:ascii="PT Astra Serif" w:hAnsi="PT Astra Serif" w:cs="Times New Roman"/>
          <w:sz w:val="28"/>
          <w:szCs w:val="28"/>
        </w:rPr>
        <w:t xml:space="preserve"> район</w:t>
      </w:r>
      <w:r w:rsidR="00490053">
        <w:rPr>
          <w:rFonts w:ascii="PT Astra Serif" w:hAnsi="PT Astra Serif" w:cs="Times New Roman"/>
          <w:sz w:val="28"/>
          <w:szCs w:val="28"/>
        </w:rPr>
        <w:t>а</w:t>
      </w:r>
    </w:p>
    <w:p w:rsidR="00B80489" w:rsidRDefault="00B80489" w:rsidP="00206E67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0489" w:rsidRPr="0071671D" w:rsidRDefault="00B80489" w:rsidP="00206E6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 xml:space="preserve">1. Настоящий Порядок рассмотрения предложений о возможности заключения муниципального контракта, контракта, договора (далее - контракт) с единственным поставщиком (подрядчиком, исполнителем) для обеспечения муниципальных нужд муниципального образования </w:t>
      </w:r>
      <w:r w:rsidR="00490053">
        <w:rPr>
          <w:rFonts w:ascii="PT Astra Serif" w:hAnsi="PT Astra Serif"/>
          <w:sz w:val="28"/>
          <w:szCs w:val="28"/>
        </w:rPr>
        <w:t>город Липки Киреевского</w:t>
      </w:r>
      <w:r w:rsidRPr="0071671D">
        <w:rPr>
          <w:rFonts w:ascii="PT Astra Serif" w:hAnsi="PT Astra Serif"/>
          <w:sz w:val="28"/>
          <w:szCs w:val="28"/>
        </w:rPr>
        <w:t xml:space="preserve"> район</w:t>
      </w:r>
      <w:r w:rsidR="00490053">
        <w:rPr>
          <w:rFonts w:ascii="PT Astra Serif" w:hAnsi="PT Astra Serif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 постановлением правительства Тульской области от 22.04.2022 №268 «</w:t>
      </w:r>
      <w:r w:rsidRPr="0071671D">
        <w:rPr>
          <w:rFonts w:ascii="PT Astra Serif" w:hAnsi="PT Astra Serif" w:cs="PT Astra Serif"/>
          <w:sz w:val="28"/>
          <w:szCs w:val="28"/>
        </w:rPr>
        <w:t>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71671D">
        <w:rPr>
          <w:rFonts w:ascii="PT Astra Serif" w:hAnsi="PT Astra Serif"/>
          <w:sz w:val="28"/>
          <w:szCs w:val="28"/>
        </w:rPr>
        <w:t xml:space="preserve"> 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2. При возникновении необходимости заключения контракта с единственным поставщиком (подрядчиком, исполнителем) заказчик- инициатор закупки, не являющийся главным распорядителем бюджетных средств, формируют предложение и направляют его в отраслевой (функциональный) орган администрации муниципального образования</w:t>
      </w:r>
      <w:r w:rsidR="00490053">
        <w:rPr>
          <w:rFonts w:ascii="PT Astra Serif" w:hAnsi="PT Astra Serif"/>
          <w:sz w:val="28"/>
          <w:szCs w:val="28"/>
        </w:rPr>
        <w:t xml:space="preserve"> город Липки Киреевского района</w:t>
      </w:r>
      <w:r w:rsidRPr="0071671D">
        <w:rPr>
          <w:rFonts w:ascii="PT Astra Serif" w:hAnsi="PT Astra Serif"/>
          <w:sz w:val="28"/>
          <w:szCs w:val="28"/>
        </w:rPr>
        <w:t xml:space="preserve">, являющийся для него главным распорядителем бюджетных средств, предложение о заключении контракта с единственным поставщиком (подрядчиком, исполнителем) для обеспечения муниципальных нужд муниципального образования </w:t>
      </w:r>
      <w:r w:rsidR="00490053">
        <w:rPr>
          <w:rFonts w:ascii="PT Astra Serif" w:hAnsi="PT Astra Serif"/>
          <w:sz w:val="28"/>
          <w:szCs w:val="28"/>
        </w:rPr>
        <w:t>город Липки Киреевского</w:t>
      </w:r>
      <w:r w:rsidRPr="0071671D">
        <w:rPr>
          <w:rFonts w:ascii="PT Astra Serif" w:hAnsi="PT Astra Serif"/>
          <w:sz w:val="28"/>
          <w:szCs w:val="28"/>
        </w:rPr>
        <w:t xml:space="preserve"> район</w:t>
      </w:r>
      <w:r w:rsidR="00490053">
        <w:rPr>
          <w:rFonts w:ascii="PT Astra Serif" w:hAnsi="PT Astra Serif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 xml:space="preserve"> (далее – предложение). В предложении в отношении заказчика и каждого, предполагаемого поставщика (подрядчика, исполнителя) указывается: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8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lastRenderedPageBreak/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9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10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14) информация о подтвержденных источниках финансирования закупки;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3. Отраслевой (функциональный) орган администрации муниципального образования Киреевский район в течении 5 рабочих дней со дня поступления предложений от заказчика осуществляет: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 xml:space="preserve"> проверку наличия информации и документов в соответствии с п.2 Порядка, в составе представленных заказчиком документов;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проверку соответствия предполагаем</w:t>
      </w:r>
      <w:r>
        <w:rPr>
          <w:rFonts w:ascii="PT Astra Serif" w:hAnsi="PT Astra Serif"/>
          <w:sz w:val="28"/>
          <w:szCs w:val="28"/>
        </w:rPr>
        <w:t xml:space="preserve">ой цены контракта </w:t>
      </w:r>
      <w:proofErr w:type="gramStart"/>
      <w:r>
        <w:rPr>
          <w:rFonts w:ascii="PT Astra Serif" w:hAnsi="PT Astra Serif"/>
          <w:sz w:val="28"/>
          <w:szCs w:val="28"/>
        </w:rPr>
        <w:t>рыночной  конъ</w:t>
      </w:r>
      <w:r w:rsidRPr="0071671D">
        <w:rPr>
          <w:rFonts w:ascii="PT Astra Serif" w:hAnsi="PT Astra Serif"/>
          <w:sz w:val="28"/>
          <w:szCs w:val="28"/>
        </w:rPr>
        <w:t>юнктуре</w:t>
      </w:r>
      <w:proofErr w:type="gramEnd"/>
      <w:r w:rsidRPr="0071671D">
        <w:rPr>
          <w:rFonts w:ascii="PT Astra Serif" w:hAnsi="PT Astra Serif"/>
          <w:sz w:val="28"/>
          <w:szCs w:val="28"/>
        </w:rPr>
        <w:t>;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проверку наличия источников финансирования закупки.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 xml:space="preserve">По итогам рассмотрения поступивших документов отраслевой (функциональный) орган инициирует рассмотрение предложений заказчика о заключении контракта с единственным поставщиком (подрядчиком, исполнителем) для обеспечения муниципальных нужд или отказывает заказчику в рассмотрении предложений о заключении контракта с единственным поставщиком (подрядчиком, исполнителем) для обеспечения муниципальных </w:t>
      </w:r>
      <w:proofErr w:type="gramStart"/>
      <w:r w:rsidRPr="0071671D">
        <w:rPr>
          <w:rFonts w:ascii="PT Astra Serif" w:hAnsi="PT Astra Serif"/>
          <w:sz w:val="28"/>
          <w:szCs w:val="28"/>
        </w:rPr>
        <w:t>нужд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о чем в течение 1 рабочего дня информирует заказчика.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Основаниями для отказа в рассмотрении предложений о заключении контракта с единственным поставщиком (подрядчиком, исполнителем) для обеспечения муниципальных нужд является наличие одного или по совокупности: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отсутствие информации и (или) документов, установленных п.</w:t>
      </w:r>
      <w:proofErr w:type="gramStart"/>
      <w:r w:rsidRPr="0071671D">
        <w:rPr>
          <w:rFonts w:ascii="PT Astra Serif" w:hAnsi="PT Astra Serif"/>
          <w:sz w:val="28"/>
          <w:szCs w:val="28"/>
        </w:rPr>
        <w:t>2  Порядка</w:t>
      </w:r>
      <w:proofErr w:type="gramEnd"/>
      <w:r w:rsidRPr="0071671D">
        <w:rPr>
          <w:rFonts w:ascii="PT Astra Serif" w:hAnsi="PT Astra Serif"/>
          <w:sz w:val="28"/>
          <w:szCs w:val="28"/>
        </w:rPr>
        <w:t>;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отсутствие обоснования целесообразности осуществления закупки с использованием конкурентного способа определения поставщика (подрядчика, исполнителя);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несоответствие закупаемых товаров, работ, услуг требованиям ст. 14 Федерального закона №44-ФЗ;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отсутствие источников финансирования предлагаемой к осуществлению закупки.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В случае принятия</w:t>
      </w:r>
      <w:r w:rsidRPr="0071671D">
        <w:rPr>
          <w:rFonts w:ascii="PT Astra Serif" w:hAnsi="PT Astra Serif"/>
          <w:sz w:val="28"/>
          <w:szCs w:val="28"/>
        </w:rPr>
        <w:t xml:space="preserve"> отраслевым (функциональным) органом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положительного решения о возможности заключения контракта с единственным </w:t>
      </w:r>
      <w:r w:rsidRPr="0071671D">
        <w:rPr>
          <w:rFonts w:ascii="PT Astra Serif" w:hAnsi="PT Astra Serif"/>
          <w:sz w:val="28"/>
          <w:szCs w:val="28"/>
        </w:rPr>
        <w:t xml:space="preserve">поставщиком (подрядчиком, исполнителем) для обеспечения муниципальных нужд, отраслевой (функциональный) орган не позднее следующего рабочего дня направляет копию полученного предложения в отдел организации закупок, а </w:t>
      </w:r>
      <w:proofErr w:type="gramStart"/>
      <w:r w:rsidRPr="0071671D">
        <w:rPr>
          <w:rFonts w:ascii="PT Astra Serif" w:hAnsi="PT Astra Serif"/>
          <w:sz w:val="28"/>
          <w:szCs w:val="28"/>
        </w:rPr>
        <w:t>так же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в финансовое управление для подтверждения источника финансирования.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В случае, если заказчиком я</w:t>
      </w:r>
      <w:r w:rsidR="004018F1">
        <w:rPr>
          <w:rFonts w:ascii="PT Astra Serif" w:hAnsi="PT Astra Serif"/>
          <w:sz w:val="28"/>
          <w:szCs w:val="28"/>
        </w:rPr>
        <w:t xml:space="preserve">вляется Собрание депутатов </w:t>
      </w:r>
      <w:r w:rsidRPr="0071671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018F1">
        <w:rPr>
          <w:rFonts w:ascii="PT Astra Serif" w:hAnsi="PT Astra Serif"/>
          <w:sz w:val="28"/>
          <w:szCs w:val="28"/>
        </w:rPr>
        <w:t>город Липки Киреевского</w:t>
      </w:r>
      <w:r w:rsidRPr="0071671D">
        <w:rPr>
          <w:rFonts w:ascii="PT Astra Serif" w:hAnsi="PT Astra Serif"/>
          <w:sz w:val="28"/>
          <w:szCs w:val="28"/>
        </w:rPr>
        <w:t xml:space="preserve"> район</w:t>
      </w:r>
      <w:r w:rsidR="004018F1">
        <w:rPr>
          <w:rFonts w:ascii="PT Astra Serif" w:hAnsi="PT Astra Serif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>, отраслевой (функциональный) орган администрации муниципального образования</w:t>
      </w:r>
      <w:r w:rsidR="004018F1">
        <w:rPr>
          <w:rFonts w:ascii="PT Astra Serif" w:hAnsi="PT Astra Serif"/>
          <w:sz w:val="28"/>
          <w:szCs w:val="28"/>
        </w:rPr>
        <w:t xml:space="preserve"> город </w:t>
      </w:r>
      <w:proofErr w:type="gramStart"/>
      <w:r w:rsidR="004018F1">
        <w:rPr>
          <w:rFonts w:ascii="PT Astra Serif" w:hAnsi="PT Astra Serif"/>
          <w:sz w:val="28"/>
          <w:szCs w:val="28"/>
        </w:rPr>
        <w:t>Липки  Киреевского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район</w:t>
      </w:r>
      <w:r w:rsidR="004018F1">
        <w:rPr>
          <w:rFonts w:ascii="PT Astra Serif" w:hAnsi="PT Astra Serif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>, такой заказчик направляет: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 xml:space="preserve">документы, предусмотренные подпунктами 2, 4, 6 пункта 2 настоящего Порядка, </w:t>
      </w:r>
      <w:r w:rsidRPr="00DB7D91">
        <w:rPr>
          <w:rFonts w:ascii="PT Astra Serif" w:hAnsi="PT Astra Serif"/>
          <w:sz w:val="28"/>
          <w:szCs w:val="28"/>
        </w:rPr>
        <w:t xml:space="preserve">в </w:t>
      </w:r>
      <w:r w:rsidR="00A45ED3" w:rsidRPr="00DB7D91">
        <w:rPr>
          <w:rFonts w:ascii="PT Astra Serif" w:hAnsi="PT Astra Serif"/>
          <w:sz w:val="28"/>
          <w:szCs w:val="28"/>
        </w:rPr>
        <w:t>сектор экономики и финансов</w:t>
      </w:r>
      <w:r w:rsidRPr="00DB7D91">
        <w:rPr>
          <w:rFonts w:ascii="PT Astra Serif" w:hAnsi="PT Astra Serif"/>
          <w:sz w:val="28"/>
          <w:szCs w:val="28"/>
        </w:rPr>
        <w:t xml:space="preserve"> для мониторинга цен на товары, работы, услуги, соответствующие</w:t>
      </w:r>
      <w:r w:rsidRPr="0071671D">
        <w:rPr>
          <w:rFonts w:ascii="PT Astra Serif" w:hAnsi="PT Astra Serif"/>
          <w:sz w:val="28"/>
          <w:szCs w:val="28"/>
        </w:rPr>
        <w:t xml:space="preserve"> предмету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 xml:space="preserve">документы, предусмотренные подпунктом 14 пункта 2 </w:t>
      </w:r>
      <w:r w:rsidR="00A45ED3">
        <w:rPr>
          <w:rFonts w:ascii="PT Astra Serif" w:hAnsi="PT Astra Serif"/>
          <w:sz w:val="28"/>
          <w:szCs w:val="28"/>
        </w:rPr>
        <w:t xml:space="preserve">Порядка в сектор экономики и финансов </w:t>
      </w:r>
      <w:r w:rsidRPr="0071671D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A45ED3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71671D">
        <w:rPr>
          <w:rFonts w:ascii="PT Astra Serif" w:hAnsi="PT Astra Serif"/>
          <w:sz w:val="28"/>
          <w:szCs w:val="28"/>
        </w:rPr>
        <w:t xml:space="preserve"> район</w:t>
      </w:r>
      <w:r w:rsidR="00A45ED3">
        <w:rPr>
          <w:rFonts w:ascii="PT Astra Serif" w:hAnsi="PT Astra Serif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 xml:space="preserve"> в целях подтверждения источников финансирования.</w:t>
      </w:r>
    </w:p>
    <w:p w:rsidR="00B80489" w:rsidRPr="0071671D" w:rsidRDefault="00A45ED3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Сектор экономики </w:t>
      </w:r>
      <w:r w:rsidR="002B07CC">
        <w:rPr>
          <w:rFonts w:ascii="PT Astra Serif" w:hAnsi="PT Astra Serif"/>
          <w:sz w:val="28"/>
          <w:szCs w:val="28"/>
        </w:rPr>
        <w:t>и финансов</w:t>
      </w:r>
      <w:r w:rsidR="00080045">
        <w:rPr>
          <w:rFonts w:ascii="PT Astra Serif" w:hAnsi="PT Astra Serif"/>
          <w:sz w:val="28"/>
          <w:szCs w:val="28"/>
        </w:rPr>
        <w:t xml:space="preserve"> </w:t>
      </w:r>
      <w:r w:rsidR="00080045" w:rsidRPr="0071671D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080045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="00080045" w:rsidRPr="0071671D">
        <w:rPr>
          <w:rFonts w:ascii="PT Astra Serif" w:hAnsi="PT Astra Serif"/>
          <w:sz w:val="28"/>
          <w:szCs w:val="28"/>
        </w:rPr>
        <w:t xml:space="preserve"> район</w:t>
      </w:r>
      <w:r w:rsidR="00080045">
        <w:rPr>
          <w:rFonts w:ascii="PT Astra Serif" w:hAnsi="PT Astra Serif"/>
          <w:sz w:val="28"/>
          <w:szCs w:val="28"/>
        </w:rPr>
        <w:t>а, получивший</w:t>
      </w:r>
      <w:r w:rsidR="00B80489" w:rsidRPr="0071671D">
        <w:rPr>
          <w:rFonts w:ascii="PT Astra Serif" w:hAnsi="PT Astra Serif"/>
          <w:sz w:val="28"/>
          <w:szCs w:val="28"/>
        </w:rPr>
        <w:t xml:space="preserve"> документ, указанный в подпункте 4 пункта 2 Порядка, в течении двух рабочих дней в ответном письме направляют заключения в рамках своей компете</w:t>
      </w:r>
      <w:r w:rsidR="00080045">
        <w:rPr>
          <w:rFonts w:ascii="PT Astra Serif" w:hAnsi="PT Astra Serif"/>
          <w:sz w:val="28"/>
          <w:szCs w:val="28"/>
        </w:rPr>
        <w:t xml:space="preserve">нции. Заключение сектора экономики и финансов </w:t>
      </w:r>
      <w:r w:rsidR="00080045" w:rsidRPr="0071671D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080045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="00080045" w:rsidRPr="0071671D">
        <w:rPr>
          <w:rFonts w:ascii="PT Astra Serif" w:hAnsi="PT Astra Serif"/>
          <w:sz w:val="28"/>
          <w:szCs w:val="28"/>
        </w:rPr>
        <w:t xml:space="preserve"> район</w:t>
      </w:r>
      <w:r w:rsidR="00080045">
        <w:rPr>
          <w:rFonts w:ascii="PT Astra Serif" w:hAnsi="PT Astra Serif"/>
          <w:sz w:val="28"/>
          <w:szCs w:val="28"/>
        </w:rPr>
        <w:t>а</w:t>
      </w:r>
      <w:r w:rsidR="00080045" w:rsidRPr="0071671D">
        <w:rPr>
          <w:rFonts w:ascii="PT Astra Serif" w:hAnsi="PT Astra Serif"/>
          <w:sz w:val="28"/>
          <w:szCs w:val="28"/>
        </w:rPr>
        <w:t xml:space="preserve"> </w:t>
      </w:r>
      <w:r w:rsidR="00B80489" w:rsidRPr="0071671D">
        <w:rPr>
          <w:rFonts w:ascii="PT Astra Serif" w:hAnsi="PT Astra Serif"/>
          <w:sz w:val="28"/>
          <w:szCs w:val="28"/>
        </w:rPr>
        <w:t xml:space="preserve">должно содержать информацию о соответствии цены условиям исполнения контракта и </w:t>
      </w:r>
      <w:proofErr w:type="gramStart"/>
      <w:r w:rsidR="00B80489" w:rsidRPr="0071671D">
        <w:rPr>
          <w:rFonts w:ascii="PT Astra Serif" w:hAnsi="PT Astra Serif"/>
          <w:sz w:val="28"/>
          <w:szCs w:val="28"/>
        </w:rPr>
        <w:t xml:space="preserve">рыночной </w:t>
      </w:r>
      <w:r w:rsidR="00B80489">
        <w:rPr>
          <w:rFonts w:ascii="PT Astra Serif" w:hAnsi="PT Astra Serif"/>
          <w:sz w:val="28"/>
          <w:szCs w:val="28"/>
        </w:rPr>
        <w:t xml:space="preserve"> конъ</w:t>
      </w:r>
      <w:r w:rsidR="00B80489" w:rsidRPr="0071671D">
        <w:rPr>
          <w:rFonts w:ascii="PT Astra Serif" w:hAnsi="PT Astra Serif"/>
          <w:sz w:val="28"/>
          <w:szCs w:val="28"/>
        </w:rPr>
        <w:t>юнктуре</w:t>
      </w:r>
      <w:proofErr w:type="gramEnd"/>
      <w:r w:rsidR="00B80489" w:rsidRPr="0071671D">
        <w:rPr>
          <w:rFonts w:ascii="PT Astra Serif" w:hAnsi="PT Astra Serif"/>
          <w:sz w:val="28"/>
          <w:szCs w:val="28"/>
        </w:rPr>
        <w:t xml:space="preserve">. Заключение </w:t>
      </w:r>
      <w:r w:rsidR="00080045">
        <w:rPr>
          <w:rFonts w:ascii="PT Astra Serif" w:hAnsi="PT Astra Serif"/>
          <w:sz w:val="28"/>
          <w:szCs w:val="28"/>
        </w:rPr>
        <w:t xml:space="preserve">сектора экономики и финансов </w:t>
      </w:r>
      <w:r w:rsidR="00080045" w:rsidRPr="0071671D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080045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="00080045" w:rsidRPr="0071671D">
        <w:rPr>
          <w:rFonts w:ascii="PT Astra Serif" w:hAnsi="PT Astra Serif"/>
          <w:sz w:val="28"/>
          <w:szCs w:val="28"/>
        </w:rPr>
        <w:t xml:space="preserve"> район</w:t>
      </w:r>
      <w:r w:rsidR="00080045">
        <w:rPr>
          <w:rFonts w:ascii="PT Astra Serif" w:hAnsi="PT Astra Serif"/>
          <w:sz w:val="28"/>
          <w:szCs w:val="28"/>
        </w:rPr>
        <w:t>а</w:t>
      </w:r>
      <w:r w:rsidR="00080045" w:rsidRPr="0071671D">
        <w:rPr>
          <w:rFonts w:ascii="PT Astra Serif" w:hAnsi="PT Astra Serif"/>
          <w:sz w:val="28"/>
          <w:szCs w:val="28"/>
        </w:rPr>
        <w:t xml:space="preserve"> </w:t>
      </w:r>
      <w:r w:rsidR="00B80489" w:rsidRPr="0071671D">
        <w:rPr>
          <w:rFonts w:ascii="PT Astra Serif" w:hAnsi="PT Astra Serif"/>
          <w:sz w:val="28"/>
          <w:szCs w:val="28"/>
        </w:rPr>
        <w:t>должно содержать информацию о наличии источника финансирования.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В случае получения заключения о несоответствии, предполагаемой цены контракта рыночной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конъ</w:t>
      </w:r>
      <w:r w:rsidRPr="0071671D">
        <w:rPr>
          <w:rFonts w:ascii="PT Astra Serif" w:hAnsi="PT Astra Serif"/>
          <w:sz w:val="28"/>
          <w:szCs w:val="28"/>
        </w:rPr>
        <w:t>юнктуре ,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 отсутствии источников финансирования, предполагаемой к осуществлению закупки, рассмотрение предложений о заключении контракта с единственным поставщиком (подрядчиком, исполнителем) не осуществляется.</w:t>
      </w:r>
    </w:p>
    <w:p w:rsidR="00B80489" w:rsidRPr="0071671D" w:rsidRDefault="00080045" w:rsidP="00206E67">
      <w:pPr>
        <w:pStyle w:val="ConsPlusNormal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5.Собрание депутатов </w:t>
      </w:r>
      <w:r w:rsidR="00B80489" w:rsidRPr="0071671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город Липки Киреевского</w:t>
      </w:r>
      <w:r w:rsidR="00B80489" w:rsidRPr="0071671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B80489" w:rsidRPr="0071671D">
        <w:rPr>
          <w:rFonts w:ascii="PT Astra Serif" w:hAnsi="PT Astra Serif"/>
          <w:sz w:val="28"/>
          <w:szCs w:val="28"/>
        </w:rPr>
        <w:t xml:space="preserve">,  отраслевой (функциональный) орган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город Липки Киреевского</w:t>
      </w:r>
      <w:r w:rsidR="00B80489" w:rsidRPr="0071671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B80489" w:rsidRPr="0071671D">
        <w:rPr>
          <w:rFonts w:ascii="PT Astra Serif" w:hAnsi="PT Astra Serif"/>
          <w:sz w:val="28"/>
          <w:szCs w:val="28"/>
        </w:rPr>
        <w:t xml:space="preserve"> в течении 1 рабочего дня со дня получения положительных заключений, предусмотренных пунктом 4 настоящего Порядка, обращается в Комиссию</w:t>
      </w:r>
      <w:r w:rsidR="00B80489"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по 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="00B80489"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B80489"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(далее – Комиссия).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В предложении </w:t>
      </w:r>
      <w:r w:rsidRPr="0071671D">
        <w:rPr>
          <w:rFonts w:ascii="PT Astra Serif" w:hAnsi="PT Astra Serif"/>
          <w:sz w:val="28"/>
          <w:szCs w:val="28"/>
        </w:rPr>
        <w:t>Собрания депутатов муниципал</w:t>
      </w:r>
      <w:r w:rsidR="00080045"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1671D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Pr="0071671D">
        <w:rPr>
          <w:rFonts w:ascii="PT Astra Serif" w:hAnsi="PT Astra Serif"/>
          <w:sz w:val="28"/>
          <w:szCs w:val="28"/>
        </w:rPr>
        <w:t>района,  отраслевого</w:t>
      </w:r>
      <w:proofErr w:type="gramEnd"/>
      <w:r w:rsidRPr="0071671D">
        <w:rPr>
          <w:rFonts w:ascii="PT Astra Serif" w:hAnsi="PT Astra Serif"/>
          <w:sz w:val="28"/>
          <w:szCs w:val="28"/>
        </w:rPr>
        <w:t xml:space="preserve"> (функционального) органа администрации муниципального образования Киреевский район в отноше</w:t>
      </w:r>
      <w:r w:rsidR="00080045">
        <w:rPr>
          <w:rFonts w:ascii="PT Astra Serif" w:hAnsi="PT Astra Serif"/>
          <w:sz w:val="28"/>
          <w:szCs w:val="28"/>
        </w:rPr>
        <w:t>нии каждого заказчика и каждого</w:t>
      </w:r>
      <w:r w:rsidRPr="0071671D">
        <w:rPr>
          <w:rFonts w:ascii="PT Astra Serif" w:hAnsi="PT Astra Serif"/>
          <w:sz w:val="28"/>
          <w:szCs w:val="28"/>
        </w:rPr>
        <w:t>, предполагаемого поставщика (подрядчика, исполнителя) указываются (содержатся):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11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2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13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14) заключения, полученные в соответствии с п.4 настоящего Порядка;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6. Комиссия в течение 5 рабочих дней со дня поступления соответствующего предложения рассматривает полученные документы и принимает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утверждаемый главой администрации или лицом, его замещающим. Протокол направляется органу, вносившему Предложение, в порядке, установленном инструкцией по делопроизводству.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Основанием для принятия отрицательного решения являются: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отсутствие финансовых средств, необходимых для оплаты контракта (контрактов), который заключается в соответствии с Предложением;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недостоверные сведения, представленные в Предложении;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в Предложении содержатся сведения о закупаемых товарах, работах, услугах, включенных в перечень, приведенный в </w:t>
      </w:r>
      <w:hyperlink w:anchor="P34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постановления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</w:t>
      </w:r>
      <w:proofErr w:type="gramStart"/>
      <w:r w:rsidRPr="0071671D"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;</w:t>
      </w:r>
      <w:proofErr w:type="gramEnd"/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14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статьей 14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наличие обстоятельств, препятствующих исполнению контракта на условиях, указанных в Предложении;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В случае принятия отрицательного решения в протоколе указывается основание для отказа.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Заседание Комиссии происходит в очной форме и считается правомочным, если на нем присутствует не менее половины от общего числа членов Комиссии.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Представитель органа, направивший предложение, выступает докладчиком по внесенному вопросу.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Решение Комиссии принимается открытым голосованием простым большинством ее членов, присутствующих на заседании и записываются в протоколе. При равном числе голосов решающим считается голос председателя Комиссии. 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В случае принятия положительного решения в протоколе указываются следующие сведения: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2" w:name="P112"/>
      <w:bookmarkEnd w:id="2"/>
      <w:r w:rsidRPr="0071671D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В случае принятия решения об отказе в возможности заключения контракта с единственным поставщиком </w:t>
      </w:r>
      <w:proofErr w:type="gramStart"/>
      <w:r w:rsidRPr="0071671D">
        <w:rPr>
          <w:rFonts w:ascii="PT Astra Serif" w:hAnsi="PT Astra Serif" w:cs="Times New Roman"/>
          <w:sz w:val="28"/>
          <w:szCs w:val="28"/>
          <w:lang w:eastAsia="zh-CN"/>
        </w:rPr>
        <w:t>( подрядчиком</w:t>
      </w:r>
      <w:proofErr w:type="gramEnd"/>
      <w:r w:rsidRPr="0071671D">
        <w:rPr>
          <w:rFonts w:ascii="PT Astra Serif" w:hAnsi="PT Astra Serif" w:cs="Times New Roman"/>
          <w:sz w:val="28"/>
          <w:szCs w:val="28"/>
          <w:lang w:eastAsia="zh-CN"/>
        </w:rPr>
        <w:t>, исполнителем) для муниципальных нужд протокол должен содержать указания на основание принятия такого решения.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Протокол подписывается всеми присутствующими на заседании членами комиссии.</w:t>
      </w:r>
    </w:p>
    <w:p w:rsidR="00B80489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3" w:name="P123"/>
      <w:bookmarkStart w:id="4" w:name="P124"/>
      <w:bookmarkEnd w:id="3"/>
      <w:bookmarkEnd w:id="4"/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7.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закупок, определенных 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>постановлением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 следующих работ (услуг):</w:t>
      </w:r>
    </w:p>
    <w:p w:rsidR="00B05515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B05515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одноименному выполнению работ по проектированию, строительству и вводу в эксплуатацию объектов капитального строительства;</w:t>
      </w:r>
    </w:p>
    <w:p w:rsidR="00B05515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B05515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B05515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работ по сохранению объектов культурного наследия;</w:t>
      </w:r>
    </w:p>
    <w:p w:rsidR="00B05515" w:rsidRPr="0071671D" w:rsidRDefault="00B05515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благоустройству территорий.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8. В случае принятия Комиссией решения о возможности заключения контракта с единственным поставщиком (подрядчиком, исполнителем) для муниципальных нужд и получения информации о согласовании протокола правительством Тульской области  отраслевой (функциональный) орган администрации муниципального образования </w:t>
      </w:r>
      <w:r w:rsidR="00080045">
        <w:rPr>
          <w:rFonts w:ascii="PT Astra Serif" w:hAnsi="PT Astra Serif" w:cs="Times New Roman"/>
          <w:sz w:val="28"/>
          <w:szCs w:val="28"/>
          <w:lang w:eastAsia="zh-CN"/>
        </w:rPr>
        <w:t>город Липки Киреевского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район</w:t>
      </w:r>
      <w:r w:rsidR="00080045">
        <w:rPr>
          <w:rFonts w:ascii="PT Astra Serif" w:hAnsi="PT Astra Serif" w:cs="Times New Roman"/>
          <w:sz w:val="28"/>
          <w:szCs w:val="28"/>
          <w:lang w:eastAsia="zh-CN"/>
        </w:rPr>
        <w:t>а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, вносивший предложение,  в порядке и сроки, установленные инструкцией по делопроизводству администрации муниципального образования </w:t>
      </w:r>
      <w:r w:rsidR="00080045">
        <w:rPr>
          <w:rFonts w:ascii="PT Astra Serif" w:hAnsi="PT Astra Serif" w:cs="Times New Roman"/>
          <w:sz w:val="28"/>
          <w:szCs w:val="28"/>
          <w:lang w:eastAsia="zh-CN"/>
        </w:rPr>
        <w:t>город Липки Киреевского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район, разрабатывает проект нормативного правового акта администрации муниципального образования </w:t>
      </w:r>
      <w:r w:rsidR="00D841A1">
        <w:rPr>
          <w:rFonts w:ascii="PT Astra Serif" w:hAnsi="PT Astra Serif" w:cs="Times New Roman"/>
          <w:sz w:val="28"/>
          <w:szCs w:val="28"/>
          <w:lang w:eastAsia="zh-CN"/>
        </w:rPr>
        <w:t>город Липки Киреевского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район</w:t>
      </w:r>
      <w:r w:rsidR="00D841A1">
        <w:rPr>
          <w:rFonts w:ascii="PT Astra Serif" w:hAnsi="PT Astra Serif" w:cs="Times New Roman"/>
          <w:sz w:val="28"/>
          <w:szCs w:val="28"/>
          <w:lang w:eastAsia="zh-CN"/>
        </w:rPr>
        <w:t>а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>, определяющего единственного поставщика (подрядчика, исполнителя) товаров, работ, услуг для обеспечения муниципальных нужд.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В случае обращения </w:t>
      </w:r>
      <w:r w:rsidRPr="0071671D">
        <w:rPr>
          <w:rFonts w:ascii="PT Astra Serif" w:hAnsi="PT Astra Serif"/>
          <w:sz w:val="28"/>
          <w:szCs w:val="28"/>
        </w:rPr>
        <w:t>Собрания депутатов муниципал</w:t>
      </w:r>
      <w:r w:rsidR="00DB7D91"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1671D">
        <w:rPr>
          <w:rFonts w:ascii="PT Astra Serif" w:hAnsi="PT Astra Serif"/>
          <w:sz w:val="28"/>
          <w:szCs w:val="28"/>
        </w:rPr>
        <w:t xml:space="preserve"> Киреевского района, проект нормативного правового акта 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администрации муниципального образования </w:t>
      </w:r>
      <w:r w:rsidR="00DB7D91">
        <w:rPr>
          <w:rFonts w:ascii="PT Astra Serif" w:hAnsi="PT Astra Serif" w:cs="Times New Roman"/>
          <w:sz w:val="28"/>
          <w:szCs w:val="28"/>
          <w:lang w:eastAsia="zh-CN"/>
        </w:rPr>
        <w:t xml:space="preserve">город Липки 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>Киреевский район, определяющего единственного поставщика (подрядчика, исполнителя) товаров, работ, услуг для муниципальных нужд разрабатывает</w:t>
      </w:r>
      <w:r w:rsidR="00DB7D91">
        <w:rPr>
          <w:rFonts w:ascii="PT Astra Serif" w:hAnsi="PT Astra Serif" w:cs="Times New Roman"/>
          <w:sz w:val="28"/>
          <w:szCs w:val="28"/>
          <w:lang w:eastAsia="zh-CN"/>
        </w:rPr>
        <w:t xml:space="preserve"> сектор экономики и финансов администрации муниципального образования город Липки Киреевского района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Муниципальный правовой акт, содержащий решение, определяющее единственного поставщика (подрядчика, исполнителя) товаров, работ, услуг для обеспечения муниципальных нужд должен содержать: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В течение 10 рабочих дней со дня вступления в силу муниципального правового акта, указанного в </w:t>
      </w:r>
      <w:r w:rsidRPr="0071671D">
        <w:rPr>
          <w:rFonts w:ascii="PT Astra Serif" w:hAnsi="PT Astra Serif"/>
          <w:sz w:val="28"/>
          <w:szCs w:val="28"/>
        </w:rPr>
        <w:t xml:space="preserve">пункте 7 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>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9. В случае закупки товаров, работ, услуг, указанных в </w:t>
      </w:r>
      <w:hyperlink w:anchor="P34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к 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>постановлению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71671D">
        <w:rPr>
          <w:rFonts w:ascii="PT Astra Serif" w:hAnsi="PT Astra Serif" w:cs="Times New Roman"/>
          <w:sz w:val="28"/>
          <w:szCs w:val="28"/>
          <w:lang w:eastAsia="zh-CN"/>
        </w:rPr>
        <w:t>, локальный распорядительный акт, содержащий условия заключения контракта с единственным поставщиком (подрядчиком, исполнителем) разрабатывает и принимает главный распорядитель бюджетных средств в отношении подведомственных ему заказчиков.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Локальный распорядительный акт должен содержать: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</w:t>
      </w:r>
      <w:proofErr w:type="gramStart"/>
      <w:r w:rsidRPr="0071671D">
        <w:rPr>
          <w:rFonts w:ascii="PT Astra Serif" w:hAnsi="PT Astra Serif" w:cs="Times New Roman"/>
          <w:sz w:val="28"/>
          <w:szCs w:val="28"/>
          <w:lang w:eastAsia="zh-CN"/>
        </w:rPr>
        <w:t>( подрядчиков</w:t>
      </w:r>
      <w:proofErr w:type="gramEnd"/>
      <w:r w:rsidRPr="0071671D">
        <w:rPr>
          <w:rFonts w:ascii="PT Astra Serif" w:hAnsi="PT Astra Serif" w:cs="Times New Roman"/>
          <w:sz w:val="28"/>
          <w:szCs w:val="28"/>
          <w:lang w:eastAsia="zh-CN"/>
        </w:rPr>
        <w:t>, исполнителей);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подготовленное, в соответствии со ст. 22 Федерального закона №44-ФЗ, обоснование цены контракта, заключаемого с единственным поставщиком </w:t>
      </w:r>
      <w:proofErr w:type="gramStart"/>
      <w:r w:rsidRPr="0071671D">
        <w:rPr>
          <w:rFonts w:ascii="PT Astra Serif" w:hAnsi="PT Astra Serif" w:cs="Times New Roman"/>
          <w:sz w:val="28"/>
          <w:szCs w:val="28"/>
          <w:lang w:eastAsia="zh-CN"/>
        </w:rPr>
        <w:t>( подрядчиком</w:t>
      </w:r>
      <w:proofErr w:type="gramEnd"/>
      <w:r w:rsidRPr="0071671D">
        <w:rPr>
          <w:rFonts w:ascii="PT Astra Serif" w:hAnsi="PT Astra Serif" w:cs="Times New Roman"/>
          <w:sz w:val="28"/>
          <w:szCs w:val="28"/>
          <w:lang w:eastAsia="zh-CN"/>
        </w:rPr>
        <w:t>, исполнителем).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При этом в контракте указывается ссылка на настоящее постановление и локальный распорядительный акт главного распорядителя бюджетных средств.</w:t>
      </w:r>
    </w:p>
    <w:p w:rsidR="00B80489" w:rsidRPr="0071671D" w:rsidRDefault="00B80489" w:rsidP="00206E6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>Обоснование цены контракта, подготовленное заказчиком, является неотъемлемой частью контракта.</w:t>
      </w:r>
    </w:p>
    <w:p w:rsidR="00B80489" w:rsidRDefault="00B80489" w:rsidP="00206E67">
      <w:pPr>
        <w:pStyle w:val="ConsPlusNormal"/>
        <w:pBdr>
          <w:bottom w:val="single" w:sz="12" w:space="1" w:color="auto"/>
        </w:pBdr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10.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15" w:history="1">
        <w:r w:rsidRPr="0071671D">
          <w:rPr>
            <w:rFonts w:ascii="PT Astra Serif" w:hAnsi="PT Astra Serif" w:cs="Times New Roman"/>
            <w:sz w:val="28"/>
            <w:szCs w:val="28"/>
            <w:lang w:eastAsia="zh-CN"/>
          </w:rPr>
          <w:t>законом</w:t>
        </w:r>
      </w:hyperlink>
      <w:r w:rsidRPr="0071671D">
        <w:rPr>
          <w:rFonts w:ascii="PT Astra Serif" w:hAnsi="PT Astra Serif" w:cs="Times New Roman"/>
          <w:sz w:val="28"/>
          <w:szCs w:val="28"/>
          <w:lang w:eastAsia="zh-CN"/>
        </w:rPr>
        <w:t xml:space="preserve"> N 44-ФЗ.</w:t>
      </w:r>
    </w:p>
    <w:p w:rsidR="00B80489" w:rsidRDefault="00B80489" w:rsidP="00206E67">
      <w:pPr>
        <w:pStyle w:val="ConsPlusNormal"/>
        <w:pBdr>
          <w:bottom w:val="single" w:sz="12" w:space="1" w:color="auto"/>
        </w:pBdr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B80489" w:rsidRPr="00B36722" w:rsidRDefault="00B80489" w:rsidP="00206E67">
      <w:pPr>
        <w:pStyle w:val="ConsPlusNormal"/>
        <w:pBdr>
          <w:bottom w:val="single" w:sz="12" w:space="1" w:color="auto"/>
        </w:pBdr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B80489" w:rsidRPr="00B36722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80489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80489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80489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B80489" w:rsidRPr="0071671D" w:rsidTr="00273D28">
        <w:trPr>
          <w:trHeight w:val="1084"/>
        </w:trPr>
        <w:tc>
          <w:tcPr>
            <w:tcW w:w="4111" w:type="dxa"/>
          </w:tcPr>
          <w:p w:rsidR="00B80489" w:rsidRPr="0071671D" w:rsidRDefault="00B80489" w:rsidP="00206E67">
            <w:pPr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1671D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71671D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71671D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B80489" w:rsidRPr="0071671D" w:rsidRDefault="00B80489" w:rsidP="00206E67">
            <w:pPr>
              <w:pStyle w:val="af0"/>
              <w:ind w:firstLine="709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1671D">
              <w:rPr>
                <w:rFonts w:ascii="PT Astra Serif" w:hAnsi="PT Astra Serif"/>
                <w:sz w:val="28"/>
                <w:szCs w:val="28"/>
              </w:rPr>
              <w:t>Приложение № 2 к постановлению</w:t>
            </w:r>
          </w:p>
          <w:p w:rsidR="00B80489" w:rsidRPr="0071671D" w:rsidRDefault="0029346D" w:rsidP="00206E6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09.06.2022 г. № 71</w:t>
            </w:r>
          </w:p>
          <w:p w:rsidR="00B80489" w:rsidRPr="0071671D" w:rsidRDefault="00B80489" w:rsidP="00206E67">
            <w:pPr>
              <w:ind w:firstLine="709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80489" w:rsidRPr="0071671D" w:rsidTr="00273D28">
        <w:trPr>
          <w:cantSplit/>
        </w:trPr>
        <w:tc>
          <w:tcPr>
            <w:tcW w:w="4111" w:type="dxa"/>
          </w:tcPr>
          <w:p w:rsidR="00B80489" w:rsidRPr="0071671D" w:rsidRDefault="00B80489" w:rsidP="00206E67">
            <w:pPr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489" w:rsidRPr="0071671D" w:rsidRDefault="00B80489" w:rsidP="00206E67">
            <w:pPr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489" w:rsidRPr="0029346D" w:rsidRDefault="00B80489" w:rsidP="00206E67">
            <w:pPr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B80489" w:rsidRPr="0071671D" w:rsidRDefault="00B80489" w:rsidP="00206E67">
      <w:pPr>
        <w:pStyle w:val="ConsPlusTitle"/>
        <w:tabs>
          <w:tab w:val="left" w:pos="1080"/>
        </w:tabs>
        <w:spacing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71671D">
        <w:rPr>
          <w:rFonts w:ascii="PT Astra Serif" w:hAnsi="PT Astra Serif"/>
          <w:sz w:val="28"/>
          <w:szCs w:val="28"/>
        </w:rPr>
        <w:t>СОСТАВ</w:t>
      </w:r>
      <w:r w:rsidRPr="0071671D">
        <w:rPr>
          <w:rFonts w:ascii="PT Astra Serif" w:hAnsi="PT Astra Serif"/>
          <w:sz w:val="28"/>
          <w:szCs w:val="28"/>
        </w:rPr>
        <w:br/>
        <w:t xml:space="preserve">комиссии по 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71671D">
        <w:rPr>
          <w:rFonts w:ascii="PT Astra Serif" w:hAnsi="PT Astra Serif"/>
          <w:sz w:val="28"/>
          <w:szCs w:val="28"/>
        </w:rPr>
        <w:t xml:space="preserve"> (по должностям)</w:t>
      </w:r>
    </w:p>
    <w:p w:rsidR="00B80489" w:rsidRPr="0071671D" w:rsidRDefault="00B80489" w:rsidP="00206E67">
      <w:pPr>
        <w:ind w:firstLine="709"/>
        <w:contextualSpacing/>
        <w:rPr>
          <w:rFonts w:ascii="PT Astra Serif" w:hAnsi="PT Astra Serif" w:cs="PT Astra Serif"/>
          <w:sz w:val="28"/>
          <w:szCs w:val="28"/>
        </w:rPr>
      </w:pP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муниципального образования 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– председатель комиссии; </w:t>
      </w:r>
    </w:p>
    <w:p w:rsidR="00B80489" w:rsidRPr="0071671D" w:rsidRDefault="00B80489" w:rsidP="00206E67">
      <w:pPr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Заместитель главы администрации муниципального образования 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DB7D91">
        <w:rPr>
          <w:rFonts w:ascii="PT Astra Serif" w:hAnsi="PT Astra Serif" w:cs="PT Astra Serif"/>
          <w:color w:val="000000"/>
          <w:sz w:val="28"/>
          <w:szCs w:val="28"/>
        </w:rPr>
        <w:t xml:space="preserve">а 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>– заместитель п</w:t>
      </w:r>
      <w:r>
        <w:rPr>
          <w:rFonts w:ascii="PT Astra Serif" w:hAnsi="PT Astra Serif" w:cs="PT Astra Serif"/>
          <w:color w:val="000000"/>
          <w:sz w:val="28"/>
          <w:szCs w:val="28"/>
        </w:rPr>
        <w:t>редседателя</w:t>
      </w:r>
      <w:r w:rsidRPr="0071671D">
        <w:rPr>
          <w:rFonts w:ascii="PT Astra Serif" w:hAnsi="PT Astra Serif" w:cs="PT Astra Serif"/>
          <w:color w:val="000000"/>
          <w:sz w:val="28"/>
          <w:szCs w:val="28"/>
        </w:rPr>
        <w:t xml:space="preserve"> комиссии; </w:t>
      </w:r>
    </w:p>
    <w:p w:rsidR="00DB7D91" w:rsidRDefault="00DB7D91" w:rsidP="00206E67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Контрактный управляющий сектора экономики 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финансов  администрации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муниципального образования город Липки Киреевского района - с</w:t>
      </w:r>
      <w:r w:rsidRPr="006E6C5E">
        <w:rPr>
          <w:rFonts w:ascii="PT Astra Serif" w:hAnsi="PT Astra Serif" w:cs="PT Astra Serif"/>
          <w:color w:val="000000"/>
          <w:sz w:val="28"/>
          <w:szCs w:val="28"/>
        </w:rPr>
        <w:t>екретарь комиссии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DB7D91" w:rsidRDefault="00DB7D91" w:rsidP="00206E67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DB7D91" w:rsidRDefault="00DB7D91" w:rsidP="00206E67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DB7D91" w:rsidRDefault="00DB7D91" w:rsidP="00206E67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DB7D91" w:rsidRDefault="00DB7D91" w:rsidP="00206E67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сектора экономики и финансов администрации муниципального образования город Липки Киреевского района;</w:t>
      </w:r>
    </w:p>
    <w:p w:rsidR="00DB7D91" w:rsidRDefault="00DB7D91" w:rsidP="00206E67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сектора правовой и кадровой работы администрации муниципального образования город Липки Киреевского района;</w:t>
      </w:r>
    </w:p>
    <w:p w:rsidR="00DB7D91" w:rsidRDefault="00DB7D91" w:rsidP="00206E67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сектора муниципального хозяйства администрации муниципального образования город Липки Киреевского района;</w:t>
      </w:r>
    </w:p>
    <w:p w:rsidR="00DB7D91" w:rsidRDefault="00DB7D91" w:rsidP="00206E67">
      <w:pPr>
        <w:ind w:firstLine="709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имущественных и земельных отношений администрации муниципального образования город Липки Киреевского района.</w:t>
      </w:r>
    </w:p>
    <w:p w:rsidR="00FF5FED" w:rsidRPr="00CD5CFA" w:rsidRDefault="00B80489" w:rsidP="00206E67">
      <w:pPr>
        <w:pStyle w:val="ae"/>
        <w:ind w:firstLine="709"/>
        <w:rPr>
          <w:rFonts w:ascii="PT Astra Serif" w:hAnsi="PT Astra Serif"/>
          <w:b/>
          <w:szCs w:val="28"/>
        </w:rPr>
      </w:pPr>
      <w:r w:rsidRPr="0071671D">
        <w:rPr>
          <w:rFonts w:ascii="PT Astra Serif" w:hAnsi="PT Astra Serif" w:cs="PT Astra Serif"/>
          <w:color w:val="000000"/>
          <w:szCs w:val="28"/>
        </w:rPr>
        <w:t>___</w:t>
      </w:r>
      <w:r>
        <w:rPr>
          <w:rFonts w:ascii="PT Astra Serif" w:hAnsi="PT Astra Serif" w:cs="PT Astra Serif"/>
          <w:color w:val="000000"/>
          <w:szCs w:val="28"/>
        </w:rPr>
        <w:t>_____________________________</w:t>
      </w:r>
      <w:r w:rsidR="00DB7D91">
        <w:rPr>
          <w:rFonts w:ascii="PT Astra Serif" w:hAnsi="PT Astra Serif" w:cs="PT Astra Serif"/>
          <w:color w:val="000000"/>
          <w:szCs w:val="28"/>
        </w:rPr>
        <w:t>_____________________________</w:t>
      </w:r>
    </w:p>
    <w:sectPr w:rsidR="00FF5FED" w:rsidRPr="00CD5CFA" w:rsidSect="00206E67">
      <w:headerReference w:type="even" r:id="rId16"/>
      <w:headerReference w:type="default" r:id="rId17"/>
      <w:headerReference w:type="first" r:id="rId1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CA" w:rsidRDefault="00B941CA" w:rsidP="000E248F">
      <w:r>
        <w:separator/>
      </w:r>
    </w:p>
  </w:endnote>
  <w:endnote w:type="continuationSeparator" w:id="0">
    <w:p w:rsidR="00B941CA" w:rsidRDefault="00B941CA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CA" w:rsidRDefault="00B941CA" w:rsidP="000E248F">
      <w:r>
        <w:separator/>
      </w:r>
    </w:p>
  </w:footnote>
  <w:footnote w:type="continuationSeparator" w:id="0">
    <w:p w:rsidR="00B941CA" w:rsidRDefault="00B941CA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1" w:rsidRDefault="007B1B62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6315"/>
    </w:sdtPr>
    <w:sdtEndPr/>
    <w:sdtContent>
      <w:p w:rsidR="00206E67" w:rsidRDefault="00BF0AE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93BF1" w:rsidRPr="00DB39E9" w:rsidRDefault="00D93BF1" w:rsidP="00097658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67" w:rsidRDefault="00206E67">
    <w:pPr>
      <w:pStyle w:val="a4"/>
      <w:jc w:val="center"/>
    </w:pPr>
  </w:p>
  <w:p w:rsidR="00206E67" w:rsidRDefault="00206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704E"/>
    <w:rsid w:val="00025AC0"/>
    <w:rsid w:val="00032439"/>
    <w:rsid w:val="0003253E"/>
    <w:rsid w:val="0003309A"/>
    <w:rsid w:val="00037891"/>
    <w:rsid w:val="00041524"/>
    <w:rsid w:val="000527B7"/>
    <w:rsid w:val="00057D64"/>
    <w:rsid w:val="0006582F"/>
    <w:rsid w:val="00080045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C7E3D"/>
    <w:rsid w:val="000D1980"/>
    <w:rsid w:val="000E0749"/>
    <w:rsid w:val="000E248F"/>
    <w:rsid w:val="000E3016"/>
    <w:rsid w:val="000F0CE0"/>
    <w:rsid w:val="000F23BE"/>
    <w:rsid w:val="00100DE1"/>
    <w:rsid w:val="00103045"/>
    <w:rsid w:val="00110223"/>
    <w:rsid w:val="001118C0"/>
    <w:rsid w:val="001214E8"/>
    <w:rsid w:val="00121681"/>
    <w:rsid w:val="00136D09"/>
    <w:rsid w:val="00143DF1"/>
    <w:rsid w:val="001443BD"/>
    <w:rsid w:val="00146935"/>
    <w:rsid w:val="00155900"/>
    <w:rsid w:val="00156F01"/>
    <w:rsid w:val="00157F51"/>
    <w:rsid w:val="0017000E"/>
    <w:rsid w:val="00184E97"/>
    <w:rsid w:val="00186A36"/>
    <w:rsid w:val="001A2781"/>
    <w:rsid w:val="001A289B"/>
    <w:rsid w:val="001A5D56"/>
    <w:rsid w:val="001B002E"/>
    <w:rsid w:val="001B6C7F"/>
    <w:rsid w:val="001C146E"/>
    <w:rsid w:val="001C1AB6"/>
    <w:rsid w:val="001C3055"/>
    <w:rsid w:val="001C5076"/>
    <w:rsid w:val="001D0DB8"/>
    <w:rsid w:val="001D3973"/>
    <w:rsid w:val="001D3C18"/>
    <w:rsid w:val="001D4700"/>
    <w:rsid w:val="001E527C"/>
    <w:rsid w:val="001E79D6"/>
    <w:rsid w:val="001F2090"/>
    <w:rsid w:val="001F4B14"/>
    <w:rsid w:val="00203943"/>
    <w:rsid w:val="00206E67"/>
    <w:rsid w:val="00213343"/>
    <w:rsid w:val="0021531D"/>
    <w:rsid w:val="00220B23"/>
    <w:rsid w:val="00221B5C"/>
    <w:rsid w:val="00222768"/>
    <w:rsid w:val="00222BAC"/>
    <w:rsid w:val="00222C39"/>
    <w:rsid w:val="00235889"/>
    <w:rsid w:val="00240935"/>
    <w:rsid w:val="00243E41"/>
    <w:rsid w:val="002519A7"/>
    <w:rsid w:val="00254615"/>
    <w:rsid w:val="00261D9B"/>
    <w:rsid w:val="00274E5D"/>
    <w:rsid w:val="00283613"/>
    <w:rsid w:val="002863A3"/>
    <w:rsid w:val="002871E9"/>
    <w:rsid w:val="002917F0"/>
    <w:rsid w:val="002922CC"/>
    <w:rsid w:val="0029346D"/>
    <w:rsid w:val="002969B9"/>
    <w:rsid w:val="002A0C4A"/>
    <w:rsid w:val="002A2D52"/>
    <w:rsid w:val="002B07CC"/>
    <w:rsid w:val="002C41FC"/>
    <w:rsid w:val="002D571E"/>
    <w:rsid w:val="002D6145"/>
    <w:rsid w:val="002E04F2"/>
    <w:rsid w:val="002E76B5"/>
    <w:rsid w:val="00307E88"/>
    <w:rsid w:val="00316DE7"/>
    <w:rsid w:val="00320B34"/>
    <w:rsid w:val="00332479"/>
    <w:rsid w:val="0033454E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61F58"/>
    <w:rsid w:val="003654ED"/>
    <w:rsid w:val="00380CA7"/>
    <w:rsid w:val="00381496"/>
    <w:rsid w:val="003855B6"/>
    <w:rsid w:val="003860CC"/>
    <w:rsid w:val="00391F17"/>
    <w:rsid w:val="003956FF"/>
    <w:rsid w:val="00396B80"/>
    <w:rsid w:val="003A50F0"/>
    <w:rsid w:val="003B08E0"/>
    <w:rsid w:val="003C300D"/>
    <w:rsid w:val="003D0D40"/>
    <w:rsid w:val="003D5678"/>
    <w:rsid w:val="003E157C"/>
    <w:rsid w:val="003E466D"/>
    <w:rsid w:val="003E6DA2"/>
    <w:rsid w:val="003E7512"/>
    <w:rsid w:val="003F0A99"/>
    <w:rsid w:val="003F42C4"/>
    <w:rsid w:val="003F7559"/>
    <w:rsid w:val="004018F1"/>
    <w:rsid w:val="00405768"/>
    <w:rsid w:val="00431F98"/>
    <w:rsid w:val="0044218D"/>
    <w:rsid w:val="00456CC0"/>
    <w:rsid w:val="00462438"/>
    <w:rsid w:val="00465157"/>
    <w:rsid w:val="00466A6B"/>
    <w:rsid w:val="00466C39"/>
    <w:rsid w:val="004706BB"/>
    <w:rsid w:val="0048065E"/>
    <w:rsid w:val="00482E58"/>
    <w:rsid w:val="00490053"/>
    <w:rsid w:val="004946DA"/>
    <w:rsid w:val="004A4172"/>
    <w:rsid w:val="004A48B9"/>
    <w:rsid w:val="004A4996"/>
    <w:rsid w:val="004A639F"/>
    <w:rsid w:val="004A658F"/>
    <w:rsid w:val="004B2442"/>
    <w:rsid w:val="004B3F09"/>
    <w:rsid w:val="004B4853"/>
    <w:rsid w:val="004B706C"/>
    <w:rsid w:val="004D0FC2"/>
    <w:rsid w:val="004D5789"/>
    <w:rsid w:val="004E2ACB"/>
    <w:rsid w:val="004E62AE"/>
    <w:rsid w:val="005030A6"/>
    <w:rsid w:val="0051149D"/>
    <w:rsid w:val="00521C09"/>
    <w:rsid w:val="0052530C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80C"/>
    <w:rsid w:val="005928A9"/>
    <w:rsid w:val="00596E64"/>
    <w:rsid w:val="00597425"/>
    <w:rsid w:val="00597550"/>
    <w:rsid w:val="005A4863"/>
    <w:rsid w:val="005B3AC0"/>
    <w:rsid w:val="005B410A"/>
    <w:rsid w:val="005B5640"/>
    <w:rsid w:val="005C0A90"/>
    <w:rsid w:val="005C2DB4"/>
    <w:rsid w:val="005D48EF"/>
    <w:rsid w:val="005E4BA2"/>
    <w:rsid w:val="005F4C72"/>
    <w:rsid w:val="00600471"/>
    <w:rsid w:val="00604190"/>
    <w:rsid w:val="00626519"/>
    <w:rsid w:val="00641562"/>
    <w:rsid w:val="00646AA9"/>
    <w:rsid w:val="00655AEA"/>
    <w:rsid w:val="006614D2"/>
    <w:rsid w:val="00663E8D"/>
    <w:rsid w:val="0067799C"/>
    <w:rsid w:val="006910BB"/>
    <w:rsid w:val="006A2D1F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70055A"/>
    <w:rsid w:val="007066E9"/>
    <w:rsid w:val="00706EC9"/>
    <w:rsid w:val="0071085C"/>
    <w:rsid w:val="00737EEA"/>
    <w:rsid w:val="00752A0E"/>
    <w:rsid w:val="00762C13"/>
    <w:rsid w:val="00766874"/>
    <w:rsid w:val="00770AFE"/>
    <w:rsid w:val="00773124"/>
    <w:rsid w:val="007749A7"/>
    <w:rsid w:val="007757F6"/>
    <w:rsid w:val="00784F88"/>
    <w:rsid w:val="00794512"/>
    <w:rsid w:val="007A1AF6"/>
    <w:rsid w:val="007A4261"/>
    <w:rsid w:val="007A451A"/>
    <w:rsid w:val="007A5141"/>
    <w:rsid w:val="007A5F72"/>
    <w:rsid w:val="007B1B62"/>
    <w:rsid w:val="007B24A5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6CFC"/>
    <w:rsid w:val="00800C00"/>
    <w:rsid w:val="00802A29"/>
    <w:rsid w:val="00804178"/>
    <w:rsid w:val="008075E6"/>
    <w:rsid w:val="008121C1"/>
    <w:rsid w:val="00825E37"/>
    <w:rsid w:val="00833EEF"/>
    <w:rsid w:val="00845F69"/>
    <w:rsid w:val="0084651D"/>
    <w:rsid w:val="00866308"/>
    <w:rsid w:val="0087192A"/>
    <w:rsid w:val="00880A29"/>
    <w:rsid w:val="008914E3"/>
    <w:rsid w:val="008931A7"/>
    <w:rsid w:val="008A352F"/>
    <w:rsid w:val="008A4408"/>
    <w:rsid w:val="008A44C2"/>
    <w:rsid w:val="008C16DA"/>
    <w:rsid w:val="008C7B06"/>
    <w:rsid w:val="008D20C4"/>
    <w:rsid w:val="008E1943"/>
    <w:rsid w:val="008E2E36"/>
    <w:rsid w:val="008E663F"/>
    <w:rsid w:val="008E6CE3"/>
    <w:rsid w:val="008E7289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646EB"/>
    <w:rsid w:val="00966E0C"/>
    <w:rsid w:val="00966EFB"/>
    <w:rsid w:val="0097345B"/>
    <w:rsid w:val="00982A0A"/>
    <w:rsid w:val="00983BEA"/>
    <w:rsid w:val="00990662"/>
    <w:rsid w:val="009923F4"/>
    <w:rsid w:val="00994E52"/>
    <w:rsid w:val="009A1E97"/>
    <w:rsid w:val="009A654C"/>
    <w:rsid w:val="009A65AC"/>
    <w:rsid w:val="009B52CA"/>
    <w:rsid w:val="009D091D"/>
    <w:rsid w:val="009D57CF"/>
    <w:rsid w:val="009E0572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5D52"/>
    <w:rsid w:val="00A16135"/>
    <w:rsid w:val="00A1620C"/>
    <w:rsid w:val="00A21C20"/>
    <w:rsid w:val="00A21D11"/>
    <w:rsid w:val="00A26140"/>
    <w:rsid w:val="00A41BD0"/>
    <w:rsid w:val="00A45ED3"/>
    <w:rsid w:val="00A50F8D"/>
    <w:rsid w:val="00A64BE6"/>
    <w:rsid w:val="00A66389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E13E2"/>
    <w:rsid w:val="00AE17F3"/>
    <w:rsid w:val="00AE1B40"/>
    <w:rsid w:val="00AE3CE5"/>
    <w:rsid w:val="00AF2417"/>
    <w:rsid w:val="00AF701D"/>
    <w:rsid w:val="00AF7DA5"/>
    <w:rsid w:val="00B00DC0"/>
    <w:rsid w:val="00B05515"/>
    <w:rsid w:val="00B05FA8"/>
    <w:rsid w:val="00B06004"/>
    <w:rsid w:val="00B10F18"/>
    <w:rsid w:val="00B14D4F"/>
    <w:rsid w:val="00B203AB"/>
    <w:rsid w:val="00B30423"/>
    <w:rsid w:val="00B34DDA"/>
    <w:rsid w:val="00B35AD2"/>
    <w:rsid w:val="00B40D6B"/>
    <w:rsid w:val="00B41AC5"/>
    <w:rsid w:val="00B42497"/>
    <w:rsid w:val="00B443EC"/>
    <w:rsid w:val="00B454F8"/>
    <w:rsid w:val="00B522F1"/>
    <w:rsid w:val="00B73245"/>
    <w:rsid w:val="00B80489"/>
    <w:rsid w:val="00B80629"/>
    <w:rsid w:val="00B82C12"/>
    <w:rsid w:val="00B84B4C"/>
    <w:rsid w:val="00B862C8"/>
    <w:rsid w:val="00B8652B"/>
    <w:rsid w:val="00B94087"/>
    <w:rsid w:val="00B941CA"/>
    <w:rsid w:val="00B9577E"/>
    <w:rsid w:val="00B95D89"/>
    <w:rsid w:val="00B96045"/>
    <w:rsid w:val="00BA0C0E"/>
    <w:rsid w:val="00BA2B47"/>
    <w:rsid w:val="00BA4925"/>
    <w:rsid w:val="00BA6170"/>
    <w:rsid w:val="00BB39CB"/>
    <w:rsid w:val="00BB4773"/>
    <w:rsid w:val="00BC7683"/>
    <w:rsid w:val="00BD1350"/>
    <w:rsid w:val="00BE07B8"/>
    <w:rsid w:val="00BE6036"/>
    <w:rsid w:val="00BF0656"/>
    <w:rsid w:val="00BF0AE3"/>
    <w:rsid w:val="00BF0B70"/>
    <w:rsid w:val="00BF470D"/>
    <w:rsid w:val="00BF4AD2"/>
    <w:rsid w:val="00C00095"/>
    <w:rsid w:val="00C02359"/>
    <w:rsid w:val="00C22524"/>
    <w:rsid w:val="00C23853"/>
    <w:rsid w:val="00C32DD7"/>
    <w:rsid w:val="00C36364"/>
    <w:rsid w:val="00C41DEF"/>
    <w:rsid w:val="00C51D5F"/>
    <w:rsid w:val="00C531C2"/>
    <w:rsid w:val="00C53761"/>
    <w:rsid w:val="00C57911"/>
    <w:rsid w:val="00C63400"/>
    <w:rsid w:val="00C66AB4"/>
    <w:rsid w:val="00C72919"/>
    <w:rsid w:val="00C74356"/>
    <w:rsid w:val="00C8513F"/>
    <w:rsid w:val="00CA46D3"/>
    <w:rsid w:val="00CA4DE5"/>
    <w:rsid w:val="00CA55E7"/>
    <w:rsid w:val="00CA5C61"/>
    <w:rsid w:val="00CB25E3"/>
    <w:rsid w:val="00CB32EA"/>
    <w:rsid w:val="00CC07FA"/>
    <w:rsid w:val="00CC3726"/>
    <w:rsid w:val="00CC49AB"/>
    <w:rsid w:val="00CC7A59"/>
    <w:rsid w:val="00CD3EFD"/>
    <w:rsid w:val="00CD5CFA"/>
    <w:rsid w:val="00CD7C30"/>
    <w:rsid w:val="00CF1FCF"/>
    <w:rsid w:val="00D0057A"/>
    <w:rsid w:val="00D06B71"/>
    <w:rsid w:val="00D11010"/>
    <w:rsid w:val="00D13AAE"/>
    <w:rsid w:val="00D158C5"/>
    <w:rsid w:val="00D23966"/>
    <w:rsid w:val="00D4118C"/>
    <w:rsid w:val="00D416FF"/>
    <w:rsid w:val="00D41B39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41A1"/>
    <w:rsid w:val="00D85E31"/>
    <w:rsid w:val="00D91E3F"/>
    <w:rsid w:val="00D93BF1"/>
    <w:rsid w:val="00D93C6E"/>
    <w:rsid w:val="00DA1F8E"/>
    <w:rsid w:val="00DA263B"/>
    <w:rsid w:val="00DA7EE0"/>
    <w:rsid w:val="00DB39E9"/>
    <w:rsid w:val="00DB5F62"/>
    <w:rsid w:val="00DB7D91"/>
    <w:rsid w:val="00DC310F"/>
    <w:rsid w:val="00DC599C"/>
    <w:rsid w:val="00DD4625"/>
    <w:rsid w:val="00DD52E7"/>
    <w:rsid w:val="00DD7D1D"/>
    <w:rsid w:val="00DE2FCA"/>
    <w:rsid w:val="00DE3321"/>
    <w:rsid w:val="00DE4D29"/>
    <w:rsid w:val="00DF5CDE"/>
    <w:rsid w:val="00E04C32"/>
    <w:rsid w:val="00E10D1A"/>
    <w:rsid w:val="00E125D8"/>
    <w:rsid w:val="00E31479"/>
    <w:rsid w:val="00E31FEF"/>
    <w:rsid w:val="00E324DB"/>
    <w:rsid w:val="00E3341F"/>
    <w:rsid w:val="00E35D5D"/>
    <w:rsid w:val="00E364A6"/>
    <w:rsid w:val="00E446F2"/>
    <w:rsid w:val="00E4608A"/>
    <w:rsid w:val="00E47722"/>
    <w:rsid w:val="00E54FBA"/>
    <w:rsid w:val="00E642E8"/>
    <w:rsid w:val="00E67D48"/>
    <w:rsid w:val="00E742BD"/>
    <w:rsid w:val="00EA1F51"/>
    <w:rsid w:val="00EB5DB6"/>
    <w:rsid w:val="00EB6114"/>
    <w:rsid w:val="00EC02DF"/>
    <w:rsid w:val="00EC2CA4"/>
    <w:rsid w:val="00EC6381"/>
    <w:rsid w:val="00EC6432"/>
    <w:rsid w:val="00ED185D"/>
    <w:rsid w:val="00EE4AAC"/>
    <w:rsid w:val="00EE592E"/>
    <w:rsid w:val="00EF5485"/>
    <w:rsid w:val="00EF7676"/>
    <w:rsid w:val="00F05E04"/>
    <w:rsid w:val="00F06B01"/>
    <w:rsid w:val="00F06D4D"/>
    <w:rsid w:val="00F0740E"/>
    <w:rsid w:val="00F07AA2"/>
    <w:rsid w:val="00F1312D"/>
    <w:rsid w:val="00F142C2"/>
    <w:rsid w:val="00F23158"/>
    <w:rsid w:val="00F35700"/>
    <w:rsid w:val="00F4183D"/>
    <w:rsid w:val="00F458CF"/>
    <w:rsid w:val="00F45A32"/>
    <w:rsid w:val="00F50BAA"/>
    <w:rsid w:val="00F57471"/>
    <w:rsid w:val="00F62C1A"/>
    <w:rsid w:val="00F71FB6"/>
    <w:rsid w:val="00F72F7E"/>
    <w:rsid w:val="00F749CF"/>
    <w:rsid w:val="00F804F7"/>
    <w:rsid w:val="00F8372E"/>
    <w:rsid w:val="00F84A99"/>
    <w:rsid w:val="00F8600B"/>
    <w:rsid w:val="00F925B6"/>
    <w:rsid w:val="00F9412C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07F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5A86-B020-4A84-9A32-B89B9DA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804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WW8Num3z2">
    <w:name w:val="WW8Num3z2"/>
    <w:rsid w:val="00B80489"/>
  </w:style>
  <w:style w:type="paragraph" w:styleId="af0">
    <w:name w:val="No Spacing"/>
    <w:uiPriority w:val="1"/>
    <w:qFormat/>
    <w:rsid w:val="00B80489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B80489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3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E4BE40E861678209456E9DD07CCA7945EF224323541042E414725FDD0FF57E69E476A6848F89B4A238A19FCA109922D110B25369518A73S0s7N" TargetMode="External"/><Relationship Id="rId12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E4BE40E861678209456E9DD07CCA7945EF22422A511042E414725FDD0FF57E7BE42EAA858896BCAF2DF7CE8CS4s7N" TargetMode="External"/><Relationship Id="rId10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14" Type="http://schemas.openxmlformats.org/officeDocument/2006/relationships/hyperlink" Target="consultantplus://offline/ref=2DE4BE40E861678209456E9DD07CCA7945EF22422A511042E414725FDD0FF57E69E476A6848F89BDAC38A19FCA109922D110B25369518A73S0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2022-06-09T06:39:00Z</cp:lastPrinted>
  <dcterms:created xsi:type="dcterms:W3CDTF">2025-05-07T06:17:00Z</dcterms:created>
  <dcterms:modified xsi:type="dcterms:W3CDTF">2025-05-07T06:17:00Z</dcterms:modified>
</cp:coreProperties>
</file>