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43A" w:rsidRPr="00846E55" w:rsidRDefault="0021743A" w:rsidP="00846E55">
      <w:pPr>
        <w:contextualSpacing/>
        <w:jc w:val="center"/>
        <w:rPr>
          <w:b/>
          <w:sz w:val="28"/>
          <w:szCs w:val="28"/>
        </w:rPr>
      </w:pPr>
      <w:r w:rsidRPr="00846E55">
        <w:rPr>
          <w:b/>
          <w:sz w:val="28"/>
          <w:szCs w:val="28"/>
        </w:rPr>
        <w:t>ТУЛЬСКАЯ ОБЛАСТЬ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786"/>
      </w:tblGrid>
      <w:tr w:rsidR="0021743A" w:rsidRPr="00846E55" w:rsidTr="00011500">
        <w:trPr>
          <w:jc w:val="center"/>
        </w:trPr>
        <w:tc>
          <w:tcPr>
            <w:tcW w:w="9571" w:type="dxa"/>
            <w:gridSpan w:val="2"/>
          </w:tcPr>
          <w:p w:rsidR="0021743A" w:rsidRPr="00846E55" w:rsidRDefault="0021743A" w:rsidP="00846E55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846E55">
              <w:rPr>
                <w:b/>
                <w:sz w:val="28"/>
                <w:szCs w:val="28"/>
              </w:rPr>
              <w:t>МУНИЦИПАЛЬНОЕ ОБРАЗОВАНИЕ</w:t>
            </w:r>
          </w:p>
        </w:tc>
      </w:tr>
      <w:tr w:rsidR="0021743A" w:rsidRPr="00846E55" w:rsidTr="00011500">
        <w:trPr>
          <w:jc w:val="center"/>
        </w:trPr>
        <w:tc>
          <w:tcPr>
            <w:tcW w:w="9571" w:type="dxa"/>
            <w:gridSpan w:val="2"/>
          </w:tcPr>
          <w:p w:rsidR="0021743A" w:rsidRPr="00846E55" w:rsidRDefault="0021743A" w:rsidP="00846E55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846E55">
              <w:rPr>
                <w:b/>
                <w:sz w:val="28"/>
                <w:szCs w:val="28"/>
              </w:rPr>
              <w:t>БОГУЧАРОВСКОЕ КИРЕЕВСКОГО РАЙОНА</w:t>
            </w:r>
          </w:p>
        </w:tc>
      </w:tr>
      <w:tr w:rsidR="0021743A" w:rsidRPr="00846E55" w:rsidTr="00011500">
        <w:trPr>
          <w:jc w:val="center"/>
        </w:trPr>
        <w:tc>
          <w:tcPr>
            <w:tcW w:w="9571" w:type="dxa"/>
            <w:gridSpan w:val="2"/>
          </w:tcPr>
          <w:p w:rsidR="0021743A" w:rsidRPr="00846E55" w:rsidRDefault="0021743A" w:rsidP="00846E55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846E55">
              <w:rPr>
                <w:b/>
                <w:sz w:val="28"/>
                <w:szCs w:val="28"/>
              </w:rPr>
              <w:t>СОБРАНИЕ ДЕПУТАТОВ 3-ЕГО СОЗЫВА</w:t>
            </w:r>
          </w:p>
        </w:tc>
      </w:tr>
      <w:tr w:rsidR="0021743A" w:rsidRPr="00846E55" w:rsidTr="00011500">
        <w:trPr>
          <w:jc w:val="center"/>
        </w:trPr>
        <w:tc>
          <w:tcPr>
            <w:tcW w:w="9571" w:type="dxa"/>
            <w:gridSpan w:val="2"/>
          </w:tcPr>
          <w:p w:rsidR="0021743A" w:rsidRPr="00846E55" w:rsidRDefault="00953F78" w:rsidP="00E834ED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44</w:t>
            </w:r>
            <w:r w:rsidR="0021743A" w:rsidRPr="00846E55">
              <w:rPr>
                <w:b/>
                <w:sz w:val="28"/>
                <w:szCs w:val="28"/>
              </w:rPr>
              <w:t>-Е ЗАСЕДАНИЕ</w:t>
            </w:r>
          </w:p>
        </w:tc>
      </w:tr>
      <w:tr w:rsidR="0021743A" w:rsidRPr="00846E55" w:rsidTr="00011500">
        <w:trPr>
          <w:jc w:val="center"/>
        </w:trPr>
        <w:tc>
          <w:tcPr>
            <w:tcW w:w="9571" w:type="dxa"/>
            <w:gridSpan w:val="2"/>
          </w:tcPr>
          <w:p w:rsidR="0021743A" w:rsidRPr="00846E55" w:rsidRDefault="0021743A" w:rsidP="00846E55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21743A" w:rsidRPr="00846E55" w:rsidTr="00011500">
        <w:trPr>
          <w:jc w:val="center"/>
        </w:trPr>
        <w:tc>
          <w:tcPr>
            <w:tcW w:w="9571" w:type="dxa"/>
            <w:gridSpan w:val="2"/>
          </w:tcPr>
          <w:p w:rsidR="0021743A" w:rsidRPr="00846E55" w:rsidRDefault="0021743A" w:rsidP="00846E55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21743A" w:rsidRPr="00846E55" w:rsidTr="00011500">
        <w:trPr>
          <w:jc w:val="center"/>
        </w:trPr>
        <w:tc>
          <w:tcPr>
            <w:tcW w:w="9571" w:type="dxa"/>
            <w:gridSpan w:val="2"/>
          </w:tcPr>
          <w:p w:rsidR="0021743A" w:rsidRPr="00846E55" w:rsidRDefault="0021743A" w:rsidP="00846E55">
            <w:pPr>
              <w:contextualSpacing/>
              <w:jc w:val="center"/>
              <w:rPr>
                <w:b/>
                <w:sz w:val="28"/>
                <w:szCs w:val="28"/>
              </w:rPr>
            </w:pPr>
            <w:bookmarkStart w:id="0" w:name="_GoBack"/>
            <w:r w:rsidRPr="00846E55">
              <w:rPr>
                <w:b/>
                <w:sz w:val="28"/>
                <w:szCs w:val="28"/>
              </w:rPr>
              <w:t>РЕШЕНИЕ</w:t>
            </w:r>
          </w:p>
        </w:tc>
      </w:tr>
      <w:tr w:rsidR="0021743A" w:rsidRPr="00846E55" w:rsidTr="00011500">
        <w:trPr>
          <w:jc w:val="center"/>
        </w:trPr>
        <w:tc>
          <w:tcPr>
            <w:tcW w:w="9571" w:type="dxa"/>
            <w:gridSpan w:val="2"/>
          </w:tcPr>
          <w:p w:rsidR="0021743A" w:rsidRPr="00846E55" w:rsidRDefault="0021743A" w:rsidP="00846E55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21743A" w:rsidRPr="00846E55" w:rsidTr="00011500">
        <w:trPr>
          <w:jc w:val="center"/>
        </w:trPr>
        <w:tc>
          <w:tcPr>
            <w:tcW w:w="4785" w:type="dxa"/>
          </w:tcPr>
          <w:p w:rsidR="0021743A" w:rsidRPr="00846E55" w:rsidRDefault="0021743A" w:rsidP="00EA6100">
            <w:pPr>
              <w:contextualSpacing/>
              <w:rPr>
                <w:b/>
                <w:sz w:val="28"/>
                <w:szCs w:val="28"/>
              </w:rPr>
            </w:pPr>
            <w:proofErr w:type="gramStart"/>
            <w:r w:rsidRPr="00846E55">
              <w:rPr>
                <w:b/>
                <w:sz w:val="28"/>
                <w:szCs w:val="28"/>
              </w:rPr>
              <w:t>от</w:t>
            </w:r>
            <w:proofErr w:type="gramEnd"/>
            <w:r w:rsidRPr="00846E55">
              <w:rPr>
                <w:b/>
                <w:sz w:val="28"/>
                <w:szCs w:val="28"/>
              </w:rPr>
              <w:t xml:space="preserve"> </w:t>
            </w:r>
            <w:r w:rsidR="00953F78">
              <w:rPr>
                <w:b/>
                <w:sz w:val="28"/>
                <w:szCs w:val="28"/>
              </w:rPr>
              <w:t>06</w:t>
            </w:r>
            <w:r w:rsidR="00EA6100">
              <w:rPr>
                <w:b/>
                <w:sz w:val="28"/>
                <w:szCs w:val="28"/>
              </w:rPr>
              <w:t xml:space="preserve"> декабря</w:t>
            </w:r>
            <w:r w:rsidR="00115EDA">
              <w:rPr>
                <w:b/>
                <w:sz w:val="28"/>
                <w:szCs w:val="28"/>
              </w:rPr>
              <w:t xml:space="preserve"> </w:t>
            </w:r>
            <w:r w:rsidRPr="00846E55">
              <w:rPr>
                <w:b/>
                <w:sz w:val="28"/>
                <w:szCs w:val="28"/>
              </w:rPr>
              <w:t>201</w:t>
            </w:r>
            <w:r w:rsidR="00EA6100">
              <w:rPr>
                <w:b/>
                <w:sz w:val="28"/>
                <w:szCs w:val="28"/>
              </w:rPr>
              <w:t>6</w:t>
            </w:r>
            <w:r w:rsidRPr="00846E55">
              <w:rPr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4786" w:type="dxa"/>
          </w:tcPr>
          <w:p w:rsidR="0021743A" w:rsidRPr="00846E55" w:rsidRDefault="0021743A" w:rsidP="00AB36D5">
            <w:pPr>
              <w:contextualSpacing/>
              <w:jc w:val="right"/>
              <w:rPr>
                <w:b/>
                <w:sz w:val="28"/>
                <w:szCs w:val="28"/>
              </w:rPr>
            </w:pPr>
            <w:r w:rsidRPr="00846E55">
              <w:rPr>
                <w:b/>
                <w:sz w:val="28"/>
                <w:szCs w:val="28"/>
              </w:rPr>
              <w:t xml:space="preserve">№ </w:t>
            </w:r>
            <w:r w:rsidR="00953F78">
              <w:rPr>
                <w:b/>
                <w:sz w:val="28"/>
                <w:szCs w:val="28"/>
              </w:rPr>
              <w:t>44-137</w:t>
            </w:r>
            <w:r w:rsidRPr="00846E55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21743A" w:rsidRPr="00846E55" w:rsidRDefault="0021743A" w:rsidP="00846E55">
      <w:pPr>
        <w:contextualSpacing/>
        <w:jc w:val="center"/>
        <w:rPr>
          <w:b/>
          <w:sz w:val="28"/>
          <w:szCs w:val="28"/>
        </w:rPr>
      </w:pPr>
    </w:p>
    <w:p w:rsidR="00C76763" w:rsidRPr="00846E55" w:rsidRDefault="00C76763" w:rsidP="00846E55">
      <w:pPr>
        <w:contextualSpacing/>
        <w:jc w:val="center"/>
      </w:pPr>
    </w:p>
    <w:p w:rsidR="0021743A" w:rsidRPr="00846E55" w:rsidRDefault="0021743A" w:rsidP="00846E55">
      <w:pPr>
        <w:contextualSpacing/>
        <w:jc w:val="center"/>
      </w:pPr>
      <w:r w:rsidRPr="00846E55">
        <w:rPr>
          <w:b/>
          <w:sz w:val="28"/>
          <w:szCs w:val="28"/>
        </w:rPr>
        <w:t xml:space="preserve">Об установлении налога на имущество физических лиц </w:t>
      </w:r>
    </w:p>
    <w:bookmarkEnd w:id="0"/>
    <w:p w:rsidR="0021743A" w:rsidRPr="00846E55" w:rsidRDefault="0021743A" w:rsidP="00846E55">
      <w:pPr>
        <w:contextualSpacing/>
      </w:pPr>
    </w:p>
    <w:p w:rsidR="0021743A" w:rsidRPr="00846E55" w:rsidRDefault="00E834ED" w:rsidP="00846E55">
      <w:pPr>
        <w:pStyle w:val="1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04 октября 2014 года № 284-ФЗ «О внесении изменений в статьи 12 и 85 части первой и часть вторую Налогового кодекса Российской Федерации «О налогах на имущество физических лиц»</w:t>
      </w:r>
      <w:r w:rsidR="0021743A" w:rsidRPr="00846E5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 06 октября 2003 года № 131-ФЗ «Об общих принципах организации местного самоуправления в Российской Федерации», Законом Тульской области от 20 ноября 2014 года № 2219-ЗТО «Об установлении единой даты начала применения на территории Тульской области порядка определения налоговой базы по налогу на имущество физических лиц исходя из кадастровой стоимости объектов налогообложения», </w:t>
      </w:r>
      <w:r w:rsidR="0021743A" w:rsidRPr="00846E55">
        <w:rPr>
          <w:rFonts w:ascii="Times New Roman" w:hAnsi="Times New Roman" w:cs="Times New Roman"/>
          <w:sz w:val="28"/>
          <w:szCs w:val="28"/>
        </w:rPr>
        <w:t xml:space="preserve"> на основании Устава муниципального образования </w:t>
      </w:r>
      <w:proofErr w:type="spellStart"/>
      <w:r w:rsidR="0021743A" w:rsidRPr="00846E55">
        <w:rPr>
          <w:rFonts w:ascii="Times New Roman" w:hAnsi="Times New Roman" w:cs="Times New Roman"/>
          <w:sz w:val="28"/>
          <w:szCs w:val="28"/>
        </w:rPr>
        <w:t>Богучаровское</w:t>
      </w:r>
      <w:proofErr w:type="spellEnd"/>
      <w:r w:rsidR="0021743A" w:rsidRPr="00846E55">
        <w:rPr>
          <w:rFonts w:ascii="Times New Roman" w:hAnsi="Times New Roman" w:cs="Times New Roman"/>
          <w:sz w:val="28"/>
          <w:szCs w:val="28"/>
        </w:rPr>
        <w:t xml:space="preserve"> Киреевского района, Собрание депутатов муниципального образования </w:t>
      </w:r>
      <w:proofErr w:type="spellStart"/>
      <w:r w:rsidR="0021743A" w:rsidRPr="00846E55">
        <w:rPr>
          <w:rFonts w:ascii="Times New Roman" w:hAnsi="Times New Roman" w:cs="Times New Roman"/>
          <w:sz w:val="28"/>
          <w:szCs w:val="28"/>
        </w:rPr>
        <w:t>Богучаровское</w:t>
      </w:r>
      <w:proofErr w:type="spellEnd"/>
      <w:r w:rsidR="0021743A" w:rsidRPr="00846E55">
        <w:rPr>
          <w:rFonts w:ascii="Times New Roman" w:hAnsi="Times New Roman" w:cs="Times New Roman"/>
          <w:sz w:val="28"/>
          <w:szCs w:val="28"/>
        </w:rPr>
        <w:t xml:space="preserve"> Киреевского района РЕШИЛО:</w:t>
      </w:r>
    </w:p>
    <w:p w:rsidR="00772A44" w:rsidRPr="00846E55" w:rsidRDefault="00875AD9" w:rsidP="00846E55">
      <w:pPr>
        <w:pStyle w:val="1"/>
        <w:numPr>
          <w:ilvl w:val="0"/>
          <w:numId w:val="1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 и в</w:t>
      </w:r>
      <w:r w:rsidR="0021743A" w:rsidRPr="00846E55">
        <w:rPr>
          <w:rFonts w:ascii="Times New Roman" w:hAnsi="Times New Roman" w:cs="Times New Roman"/>
          <w:sz w:val="28"/>
          <w:szCs w:val="28"/>
        </w:rPr>
        <w:t xml:space="preserve">вести </w:t>
      </w:r>
      <w:r>
        <w:rPr>
          <w:rFonts w:ascii="Times New Roman" w:hAnsi="Times New Roman" w:cs="Times New Roman"/>
          <w:sz w:val="28"/>
          <w:szCs w:val="28"/>
        </w:rPr>
        <w:t>в действие с 01 января 201</w:t>
      </w:r>
      <w:r w:rsidR="00EA610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21743A" w:rsidRPr="00846E55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</w:t>
      </w:r>
      <w:proofErr w:type="spellStart"/>
      <w:r w:rsidR="0021743A" w:rsidRPr="00846E55">
        <w:rPr>
          <w:rFonts w:ascii="Times New Roman" w:hAnsi="Times New Roman" w:cs="Times New Roman"/>
          <w:sz w:val="28"/>
          <w:szCs w:val="28"/>
        </w:rPr>
        <w:t>Богучаровское</w:t>
      </w:r>
      <w:proofErr w:type="spellEnd"/>
      <w:r w:rsidR="0021743A" w:rsidRPr="00846E55">
        <w:rPr>
          <w:rFonts w:ascii="Times New Roman" w:hAnsi="Times New Roman" w:cs="Times New Roman"/>
          <w:sz w:val="28"/>
          <w:szCs w:val="28"/>
        </w:rPr>
        <w:t xml:space="preserve"> Киреевского района налог на имущество физических лиц, порядок и сроки уплаты налога на имущество, находящегося в пределах границ муниципального образования </w:t>
      </w:r>
      <w:proofErr w:type="spellStart"/>
      <w:r w:rsidR="0021743A" w:rsidRPr="00846E55">
        <w:rPr>
          <w:rFonts w:ascii="Times New Roman" w:hAnsi="Times New Roman" w:cs="Times New Roman"/>
          <w:sz w:val="28"/>
          <w:szCs w:val="28"/>
        </w:rPr>
        <w:t>Богучаровское</w:t>
      </w:r>
      <w:proofErr w:type="spellEnd"/>
      <w:r w:rsidR="0021743A" w:rsidRPr="00846E55">
        <w:rPr>
          <w:rFonts w:ascii="Times New Roman" w:hAnsi="Times New Roman" w:cs="Times New Roman"/>
          <w:sz w:val="28"/>
          <w:szCs w:val="28"/>
        </w:rPr>
        <w:t xml:space="preserve"> Киреевского района.</w:t>
      </w:r>
    </w:p>
    <w:p w:rsidR="00772A44" w:rsidRDefault="00875AD9" w:rsidP="00846E55">
      <w:pPr>
        <w:pStyle w:val="1"/>
        <w:numPr>
          <w:ilvl w:val="0"/>
          <w:numId w:val="1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Установить, что н</w:t>
      </w:r>
      <w:r w:rsidR="00772A44" w:rsidRPr="00846E55">
        <w:rPr>
          <w:rFonts w:ascii="Times New Roman" w:hAnsi="Times New Roman" w:cs="Times New Roman"/>
          <w:sz w:val="28"/>
          <w:szCs w:val="28"/>
        </w:rPr>
        <w:t>алог</w:t>
      </w:r>
      <w:r>
        <w:rPr>
          <w:rFonts w:ascii="Times New Roman" w:hAnsi="Times New Roman" w:cs="Times New Roman"/>
          <w:sz w:val="28"/>
          <w:szCs w:val="28"/>
        </w:rPr>
        <w:t xml:space="preserve">овая база по налогу в отношении объектов налогообложения определяется исходя из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="00772A44" w:rsidRPr="00846E55">
        <w:rPr>
          <w:rFonts w:ascii="Times New Roman" w:hAnsi="Times New Roman" w:cs="Times New Roman"/>
          <w:sz w:val="28"/>
          <w:szCs w:val="28"/>
        </w:rPr>
        <w:t xml:space="preserve"> </w:t>
      </w:r>
      <w:r w:rsidR="00E834ED">
        <w:rPr>
          <w:rFonts w:ascii="Times New Roman" w:hAnsi="Times New Roman" w:cs="Times New Roman"/>
          <w:sz w:val="28"/>
          <w:szCs w:val="28"/>
        </w:rPr>
        <w:t>кадастровой</w:t>
      </w:r>
      <w:proofErr w:type="gramEnd"/>
      <w:r w:rsidR="00E834ED">
        <w:rPr>
          <w:rFonts w:ascii="Times New Roman" w:hAnsi="Times New Roman" w:cs="Times New Roman"/>
          <w:sz w:val="28"/>
          <w:szCs w:val="28"/>
        </w:rPr>
        <w:t xml:space="preserve"> </w:t>
      </w:r>
      <w:r w:rsidR="00772A44" w:rsidRPr="00846E55">
        <w:rPr>
          <w:rFonts w:ascii="Times New Roman" w:hAnsi="Times New Roman" w:cs="Times New Roman"/>
          <w:sz w:val="28"/>
          <w:szCs w:val="28"/>
        </w:rPr>
        <w:t xml:space="preserve"> стоимости. </w:t>
      </w:r>
    </w:p>
    <w:p w:rsidR="0021743A" w:rsidRPr="00846E55" w:rsidRDefault="0021743A" w:rsidP="00846E55">
      <w:pPr>
        <w:pStyle w:val="1"/>
        <w:numPr>
          <w:ilvl w:val="0"/>
          <w:numId w:val="1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6E55">
        <w:rPr>
          <w:rFonts w:ascii="Times New Roman" w:hAnsi="Times New Roman" w:cs="Times New Roman"/>
          <w:sz w:val="28"/>
          <w:szCs w:val="28"/>
        </w:rPr>
        <w:t xml:space="preserve">Установить </w:t>
      </w:r>
      <w:r w:rsidR="00875AD9">
        <w:rPr>
          <w:rFonts w:ascii="Times New Roman" w:hAnsi="Times New Roman" w:cs="Times New Roman"/>
          <w:sz w:val="28"/>
          <w:szCs w:val="28"/>
        </w:rPr>
        <w:t>следующие налоговые ставки по налогу:</w:t>
      </w:r>
    </w:p>
    <w:p w:rsidR="0021743A" w:rsidRDefault="00E834ED" w:rsidP="00E834ED">
      <w:pPr>
        <w:pStyle w:val="1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жилых домов, жилых помещений; объектов незавершенного строительства в случае, если проектируемым назначением таких объектов является жилой дом; единых недвижимых комплексов</w:t>
      </w:r>
      <w:r w:rsidR="00EA061F">
        <w:rPr>
          <w:rFonts w:ascii="Times New Roman" w:hAnsi="Times New Roman" w:cs="Times New Roman"/>
          <w:sz w:val="28"/>
          <w:szCs w:val="28"/>
        </w:rPr>
        <w:t xml:space="preserve">, в состав которых входит </w:t>
      </w:r>
      <w:proofErr w:type="gramStart"/>
      <w:r w:rsidR="00EA061F">
        <w:rPr>
          <w:rFonts w:ascii="Times New Roman" w:hAnsi="Times New Roman" w:cs="Times New Roman"/>
          <w:sz w:val="28"/>
          <w:szCs w:val="28"/>
        </w:rPr>
        <w:t>хотя</w:t>
      </w:r>
      <w:proofErr w:type="gramEnd"/>
      <w:r w:rsidR="00EA061F">
        <w:rPr>
          <w:rFonts w:ascii="Times New Roman" w:hAnsi="Times New Roman" w:cs="Times New Roman"/>
          <w:sz w:val="28"/>
          <w:szCs w:val="28"/>
        </w:rPr>
        <w:t xml:space="preserve"> бы одно жилое помещение (жилой дом); гаражей и </w:t>
      </w:r>
      <w:proofErr w:type="spellStart"/>
      <w:r w:rsidR="00EA061F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="00EA061F">
        <w:rPr>
          <w:rFonts w:ascii="Times New Roman" w:hAnsi="Times New Roman" w:cs="Times New Roman"/>
          <w:sz w:val="28"/>
          <w:szCs w:val="28"/>
        </w:rPr>
        <w:t>-мест; 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 – 01, процента;</w:t>
      </w:r>
    </w:p>
    <w:p w:rsidR="00EA061F" w:rsidRDefault="00EA061F" w:rsidP="00E834ED">
      <w:pPr>
        <w:pStyle w:val="1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846E55">
        <w:rPr>
          <w:rFonts w:ascii="Times New Roman" w:hAnsi="Times New Roman" w:cs="Times New Roman"/>
          <w:sz w:val="28"/>
          <w:szCs w:val="28"/>
        </w:rPr>
        <w:t>объектов налогообложения, включенных в перечень, определяемый в соответствии с пунктом 7 статьи 378.2 Налогового кодекса, а также объектов налогообложения, предусмотренных абзацем вторым пун</w:t>
      </w:r>
      <w:r>
        <w:rPr>
          <w:rFonts w:ascii="Times New Roman" w:hAnsi="Times New Roman" w:cs="Times New Roman"/>
          <w:sz w:val="28"/>
          <w:szCs w:val="28"/>
        </w:rPr>
        <w:t>кта 10 статьи 378.2 Налогового к</w:t>
      </w:r>
      <w:r w:rsidRPr="00846E55">
        <w:rPr>
          <w:rFonts w:ascii="Times New Roman" w:hAnsi="Times New Roman" w:cs="Times New Roman"/>
          <w:sz w:val="28"/>
          <w:szCs w:val="28"/>
        </w:rPr>
        <w:t>одекса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а также в отношении объектов </w:t>
      </w:r>
      <w:r>
        <w:rPr>
          <w:rFonts w:ascii="Times New Roman" w:hAnsi="Times New Roman" w:cs="Times New Roman"/>
          <w:sz w:val="28"/>
          <w:szCs w:val="28"/>
        </w:rPr>
        <w:lastRenderedPageBreak/>
        <w:t>налогообложения, кадастровая стоимость каждого из которых превышает 300 млн. рублей, - 2 процента;</w:t>
      </w:r>
    </w:p>
    <w:p w:rsidR="00EA061F" w:rsidRPr="00846E55" w:rsidRDefault="00EA061F" w:rsidP="00E834ED">
      <w:pPr>
        <w:pStyle w:val="1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для прочих объектов налогообложения – 0,5 процента.</w:t>
      </w:r>
      <w:r w:rsidRPr="00846E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47FE" w:rsidRDefault="00115EDA" w:rsidP="00E6490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53F78">
        <w:rPr>
          <w:sz w:val="28"/>
          <w:szCs w:val="28"/>
        </w:rPr>
        <w:t>4</w:t>
      </w:r>
      <w:r w:rsidR="002B47FE">
        <w:rPr>
          <w:sz w:val="28"/>
          <w:szCs w:val="28"/>
        </w:rPr>
        <w:t>. Установить, что право на налоговую льготу имеют следующие категории налогоплательщиков:</w:t>
      </w:r>
    </w:p>
    <w:p w:rsidR="002B47FE" w:rsidRDefault="002B47FE" w:rsidP="00846E55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53F78">
        <w:rPr>
          <w:sz w:val="28"/>
          <w:szCs w:val="28"/>
        </w:rPr>
        <w:t>4</w:t>
      </w:r>
      <w:r>
        <w:rPr>
          <w:sz w:val="28"/>
          <w:szCs w:val="28"/>
        </w:rPr>
        <w:t>.1. Ветераны (участники) ВОВ.</w:t>
      </w:r>
    </w:p>
    <w:p w:rsidR="002B47FE" w:rsidRDefault="002B47FE" w:rsidP="00846E55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53F78">
        <w:rPr>
          <w:sz w:val="28"/>
          <w:szCs w:val="28"/>
        </w:rPr>
        <w:t>4</w:t>
      </w:r>
      <w:r>
        <w:rPr>
          <w:sz w:val="28"/>
          <w:szCs w:val="28"/>
        </w:rPr>
        <w:t>.2. Многодетные семьи.</w:t>
      </w:r>
    </w:p>
    <w:p w:rsidR="00E6490A" w:rsidRDefault="00953F78" w:rsidP="00846E55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</w:t>
      </w:r>
      <w:r w:rsidR="00E6490A">
        <w:rPr>
          <w:sz w:val="28"/>
          <w:szCs w:val="28"/>
        </w:rPr>
        <w:t>.3. Категории налогоплательщиков, перечень которых установлен нормами налогового законодательства.</w:t>
      </w:r>
    </w:p>
    <w:p w:rsidR="0021743A" w:rsidRPr="00846E55" w:rsidRDefault="00953F78" w:rsidP="00E834ED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B47FE">
        <w:rPr>
          <w:sz w:val="28"/>
          <w:szCs w:val="28"/>
        </w:rPr>
        <w:t xml:space="preserve">. </w:t>
      </w:r>
      <w:r w:rsidR="0021743A" w:rsidRPr="00846E55">
        <w:rPr>
          <w:sz w:val="28"/>
          <w:szCs w:val="28"/>
        </w:rPr>
        <w:t xml:space="preserve">Настоящее Решение </w:t>
      </w:r>
      <w:proofErr w:type="gramStart"/>
      <w:r w:rsidR="0021743A" w:rsidRPr="00846E55">
        <w:rPr>
          <w:sz w:val="28"/>
          <w:szCs w:val="28"/>
        </w:rPr>
        <w:t>опубликовать  в</w:t>
      </w:r>
      <w:proofErr w:type="gramEnd"/>
      <w:r w:rsidR="000D3989">
        <w:rPr>
          <w:sz w:val="28"/>
          <w:szCs w:val="28"/>
        </w:rPr>
        <w:t xml:space="preserve"> общественно-политической газете </w:t>
      </w:r>
      <w:r w:rsidR="0021743A" w:rsidRPr="00846E55">
        <w:rPr>
          <w:sz w:val="28"/>
          <w:szCs w:val="28"/>
        </w:rPr>
        <w:t xml:space="preserve"> «Маяк»</w:t>
      </w:r>
      <w:r w:rsidR="000D3989">
        <w:rPr>
          <w:sz w:val="28"/>
          <w:szCs w:val="28"/>
        </w:rPr>
        <w:t>, Киреевский район»</w:t>
      </w:r>
      <w:r w:rsidR="0021743A" w:rsidRPr="00846E55">
        <w:rPr>
          <w:sz w:val="28"/>
          <w:szCs w:val="28"/>
        </w:rPr>
        <w:t xml:space="preserve"> и на сайте муниципального образования Киреевский район в разделе муниципального образования </w:t>
      </w:r>
      <w:proofErr w:type="spellStart"/>
      <w:r w:rsidR="0021743A" w:rsidRPr="00846E55">
        <w:rPr>
          <w:sz w:val="28"/>
          <w:szCs w:val="28"/>
        </w:rPr>
        <w:t>Богучаровское</w:t>
      </w:r>
      <w:proofErr w:type="spellEnd"/>
      <w:r w:rsidR="0021743A" w:rsidRPr="00846E55">
        <w:rPr>
          <w:sz w:val="28"/>
          <w:szCs w:val="28"/>
        </w:rPr>
        <w:t xml:space="preserve"> Киреевского района.</w:t>
      </w:r>
    </w:p>
    <w:p w:rsidR="0021743A" w:rsidRPr="00846E55" w:rsidRDefault="00953F78" w:rsidP="00E834ED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B47FE">
        <w:rPr>
          <w:sz w:val="28"/>
          <w:szCs w:val="28"/>
        </w:rPr>
        <w:t xml:space="preserve">. </w:t>
      </w:r>
      <w:r w:rsidR="0021743A" w:rsidRPr="00846E55">
        <w:rPr>
          <w:sz w:val="28"/>
          <w:szCs w:val="28"/>
        </w:rPr>
        <w:t>Настоящее Решение вступает в силу по истечении месяца со дня официального опубликования и распространяет свое действие на правоотношения, возникающие с 01 января 201</w:t>
      </w:r>
      <w:r w:rsidR="00EA6100">
        <w:rPr>
          <w:sz w:val="28"/>
          <w:szCs w:val="28"/>
        </w:rPr>
        <w:t>7</w:t>
      </w:r>
      <w:r w:rsidR="0021743A" w:rsidRPr="00846E55">
        <w:rPr>
          <w:sz w:val="28"/>
          <w:szCs w:val="28"/>
        </w:rPr>
        <w:t xml:space="preserve"> года.     </w:t>
      </w:r>
    </w:p>
    <w:p w:rsidR="00772A44" w:rsidRPr="00846E55" w:rsidRDefault="00772A44" w:rsidP="00846E55">
      <w:pPr>
        <w:ind w:left="709"/>
        <w:contextualSpacing/>
        <w:jc w:val="both"/>
        <w:rPr>
          <w:sz w:val="28"/>
          <w:szCs w:val="28"/>
        </w:rPr>
      </w:pPr>
    </w:p>
    <w:p w:rsidR="0021743A" w:rsidRPr="00846E55" w:rsidRDefault="0021743A" w:rsidP="00846E55">
      <w:pPr>
        <w:ind w:firstLine="709"/>
        <w:contextualSpacing/>
        <w:jc w:val="both"/>
        <w:rPr>
          <w:sz w:val="28"/>
          <w:szCs w:val="28"/>
        </w:rPr>
      </w:pPr>
    </w:p>
    <w:p w:rsidR="00A330BE" w:rsidRPr="00846E55" w:rsidRDefault="00A330BE" w:rsidP="00846E55">
      <w:pPr>
        <w:ind w:firstLine="709"/>
        <w:contextualSpacing/>
        <w:jc w:val="both"/>
        <w:rPr>
          <w:sz w:val="28"/>
          <w:szCs w:val="28"/>
        </w:rPr>
      </w:pPr>
    </w:p>
    <w:p w:rsidR="0021743A" w:rsidRPr="00846E55" w:rsidRDefault="0021743A" w:rsidP="00846E55">
      <w:pPr>
        <w:ind w:firstLine="709"/>
        <w:contextualSpacing/>
        <w:jc w:val="both"/>
        <w:rPr>
          <w:sz w:val="28"/>
          <w:szCs w:val="28"/>
        </w:rPr>
      </w:pPr>
    </w:p>
    <w:p w:rsidR="0021743A" w:rsidRPr="00846E55" w:rsidRDefault="0021743A" w:rsidP="00846E55">
      <w:pPr>
        <w:contextualSpacing/>
        <w:jc w:val="both"/>
        <w:rPr>
          <w:b/>
          <w:sz w:val="28"/>
          <w:szCs w:val="28"/>
        </w:rPr>
      </w:pPr>
      <w:r w:rsidRPr="00846E55">
        <w:rPr>
          <w:b/>
          <w:sz w:val="28"/>
          <w:szCs w:val="28"/>
        </w:rPr>
        <w:t>Глава муниципального образования</w:t>
      </w:r>
    </w:p>
    <w:p w:rsidR="0021743A" w:rsidRPr="00846E55" w:rsidRDefault="0021743A" w:rsidP="00846E55">
      <w:pPr>
        <w:contextualSpacing/>
        <w:jc w:val="center"/>
      </w:pPr>
      <w:proofErr w:type="spellStart"/>
      <w:proofErr w:type="gramStart"/>
      <w:r w:rsidRPr="00846E55">
        <w:rPr>
          <w:b/>
          <w:sz w:val="28"/>
          <w:szCs w:val="28"/>
        </w:rPr>
        <w:t>Богучаровское</w:t>
      </w:r>
      <w:proofErr w:type="spellEnd"/>
      <w:r w:rsidRPr="00846E55">
        <w:rPr>
          <w:b/>
          <w:sz w:val="28"/>
          <w:szCs w:val="28"/>
        </w:rPr>
        <w:t xml:space="preserve">  Киреевского</w:t>
      </w:r>
      <w:proofErr w:type="gramEnd"/>
      <w:r w:rsidRPr="00846E55">
        <w:rPr>
          <w:b/>
          <w:sz w:val="28"/>
          <w:szCs w:val="28"/>
        </w:rPr>
        <w:t xml:space="preserve"> района                                                   </w:t>
      </w:r>
      <w:r w:rsidR="00EA061F">
        <w:rPr>
          <w:b/>
          <w:sz w:val="28"/>
          <w:szCs w:val="28"/>
        </w:rPr>
        <w:t>В.М. Хлопов</w:t>
      </w:r>
    </w:p>
    <w:sectPr w:rsidR="0021743A" w:rsidRPr="00846E55" w:rsidSect="00115EDA">
      <w:headerReference w:type="default" r:id="rId7"/>
      <w:pgSz w:w="11906" w:h="16838" w:code="9"/>
      <w:pgMar w:top="851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1558" w:rsidRDefault="00D01558" w:rsidP="00A330BE">
      <w:r>
        <w:separator/>
      </w:r>
    </w:p>
  </w:endnote>
  <w:endnote w:type="continuationSeparator" w:id="0">
    <w:p w:rsidR="00D01558" w:rsidRDefault="00D01558" w:rsidP="00A33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1558" w:rsidRDefault="00D01558" w:rsidP="00A330BE">
      <w:r>
        <w:separator/>
      </w:r>
    </w:p>
  </w:footnote>
  <w:footnote w:type="continuationSeparator" w:id="0">
    <w:p w:rsidR="00D01558" w:rsidRDefault="00D01558" w:rsidP="00A330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337297"/>
      <w:docPartObj>
        <w:docPartGallery w:val="Page Numbers (Top of Page)"/>
        <w:docPartUnique/>
      </w:docPartObj>
    </w:sdtPr>
    <w:sdtEndPr/>
    <w:sdtContent>
      <w:p w:rsidR="00A330BE" w:rsidRDefault="00961EBC" w:rsidP="00A330BE">
        <w:pPr>
          <w:pStyle w:val="a3"/>
          <w:jc w:val="right"/>
        </w:pPr>
        <w:r>
          <w:fldChar w:fldCharType="begin"/>
        </w:r>
        <w:r w:rsidR="00194557">
          <w:instrText xml:space="preserve"> PAGE   \* MERGEFORMAT </w:instrText>
        </w:r>
        <w:r>
          <w:fldChar w:fldCharType="separate"/>
        </w:r>
        <w:r w:rsidR="00B51B5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B42F1B"/>
    <w:multiLevelType w:val="hybridMultilevel"/>
    <w:tmpl w:val="2BC8F584"/>
    <w:lvl w:ilvl="0" w:tplc="67CA1C5A">
      <w:start w:val="1"/>
      <w:numFmt w:val="decimal"/>
      <w:lvlText w:val="%1)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26304886"/>
    <w:multiLevelType w:val="hybridMultilevel"/>
    <w:tmpl w:val="F99C6766"/>
    <w:lvl w:ilvl="0" w:tplc="6CAEAFD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200" w:hanging="360"/>
      </w:pPr>
    </w:lvl>
    <w:lvl w:ilvl="2" w:tplc="0419001B">
      <w:start w:val="1"/>
      <w:numFmt w:val="lowerRoman"/>
      <w:lvlText w:val="%3."/>
      <w:lvlJc w:val="right"/>
      <w:pPr>
        <w:ind w:left="1920" w:hanging="180"/>
      </w:pPr>
    </w:lvl>
    <w:lvl w:ilvl="3" w:tplc="0419000F">
      <w:start w:val="1"/>
      <w:numFmt w:val="decimal"/>
      <w:lvlText w:val="%4."/>
      <w:lvlJc w:val="left"/>
      <w:pPr>
        <w:ind w:left="2640" w:hanging="360"/>
      </w:pPr>
    </w:lvl>
    <w:lvl w:ilvl="4" w:tplc="04190019">
      <w:start w:val="1"/>
      <w:numFmt w:val="lowerLetter"/>
      <w:lvlText w:val="%5."/>
      <w:lvlJc w:val="left"/>
      <w:pPr>
        <w:ind w:left="3360" w:hanging="360"/>
      </w:pPr>
    </w:lvl>
    <w:lvl w:ilvl="5" w:tplc="0419001B">
      <w:start w:val="1"/>
      <w:numFmt w:val="lowerRoman"/>
      <w:lvlText w:val="%6."/>
      <w:lvlJc w:val="right"/>
      <w:pPr>
        <w:ind w:left="4080" w:hanging="180"/>
      </w:pPr>
    </w:lvl>
    <w:lvl w:ilvl="6" w:tplc="0419000F">
      <w:start w:val="1"/>
      <w:numFmt w:val="decimal"/>
      <w:lvlText w:val="%7."/>
      <w:lvlJc w:val="left"/>
      <w:pPr>
        <w:ind w:left="4800" w:hanging="360"/>
      </w:pPr>
    </w:lvl>
    <w:lvl w:ilvl="7" w:tplc="04190019">
      <w:start w:val="1"/>
      <w:numFmt w:val="lowerLetter"/>
      <w:lvlText w:val="%8."/>
      <w:lvlJc w:val="left"/>
      <w:pPr>
        <w:ind w:left="5520" w:hanging="360"/>
      </w:pPr>
    </w:lvl>
    <w:lvl w:ilvl="8" w:tplc="0419001B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43A"/>
    <w:rsid w:val="00033519"/>
    <w:rsid w:val="00040DA5"/>
    <w:rsid w:val="000D3989"/>
    <w:rsid w:val="00115EDA"/>
    <w:rsid w:val="00194557"/>
    <w:rsid w:val="001E6DA5"/>
    <w:rsid w:val="0021743A"/>
    <w:rsid w:val="00244715"/>
    <w:rsid w:val="002B47FE"/>
    <w:rsid w:val="0030530F"/>
    <w:rsid w:val="00383D77"/>
    <w:rsid w:val="004457C4"/>
    <w:rsid w:val="00462E4D"/>
    <w:rsid w:val="00486754"/>
    <w:rsid w:val="006175BA"/>
    <w:rsid w:val="00632627"/>
    <w:rsid w:val="00682B53"/>
    <w:rsid w:val="006B56FF"/>
    <w:rsid w:val="006F1338"/>
    <w:rsid w:val="00772A44"/>
    <w:rsid w:val="00846E55"/>
    <w:rsid w:val="00875AD9"/>
    <w:rsid w:val="00953F78"/>
    <w:rsid w:val="00961EBC"/>
    <w:rsid w:val="009F3B45"/>
    <w:rsid w:val="00A053B8"/>
    <w:rsid w:val="00A330BE"/>
    <w:rsid w:val="00AB36D5"/>
    <w:rsid w:val="00B244B2"/>
    <w:rsid w:val="00B51B51"/>
    <w:rsid w:val="00BB2DFB"/>
    <w:rsid w:val="00C25ED9"/>
    <w:rsid w:val="00C76763"/>
    <w:rsid w:val="00CB331A"/>
    <w:rsid w:val="00D01558"/>
    <w:rsid w:val="00D254BE"/>
    <w:rsid w:val="00D41017"/>
    <w:rsid w:val="00D9602C"/>
    <w:rsid w:val="00DD1DE3"/>
    <w:rsid w:val="00E6490A"/>
    <w:rsid w:val="00E834ED"/>
    <w:rsid w:val="00EA061F"/>
    <w:rsid w:val="00EA6100"/>
    <w:rsid w:val="00EB3EB8"/>
    <w:rsid w:val="00FB2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4EFB75-DC12-4458-BA70-101ACD6F7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1743A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A330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330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A330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330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846E5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834E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34E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Виктор Александрович Лебедев</cp:lastModifiedBy>
  <cp:revision>2</cp:revision>
  <cp:lastPrinted>2015-11-18T06:42:00Z</cp:lastPrinted>
  <dcterms:created xsi:type="dcterms:W3CDTF">2025-04-28T08:14:00Z</dcterms:created>
  <dcterms:modified xsi:type="dcterms:W3CDTF">2025-04-28T08:14:00Z</dcterms:modified>
</cp:coreProperties>
</file>