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923" w:rsidRPr="001D1759" w:rsidRDefault="009B7923" w:rsidP="009B7923">
      <w:pPr>
        <w:jc w:val="center"/>
        <w:rPr>
          <w:b/>
          <w:sz w:val="28"/>
          <w:szCs w:val="28"/>
        </w:rPr>
      </w:pPr>
      <w:r w:rsidRPr="001D1759">
        <w:rPr>
          <w:b/>
          <w:sz w:val="28"/>
          <w:szCs w:val="28"/>
        </w:rPr>
        <w:t>ТУЛЬСКАЯ ОБЛАСТЬ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820"/>
      </w:tblGrid>
      <w:tr w:rsidR="009B7923" w:rsidRPr="002264C1" w:rsidTr="00CF0E34">
        <w:trPr>
          <w:jc w:val="center"/>
        </w:trPr>
        <w:tc>
          <w:tcPr>
            <w:tcW w:w="9605" w:type="dxa"/>
            <w:gridSpan w:val="2"/>
          </w:tcPr>
          <w:p w:rsidR="009B7923" w:rsidRPr="002264C1" w:rsidRDefault="009B7923" w:rsidP="007625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</w:t>
            </w:r>
            <w:r w:rsidRPr="002264C1">
              <w:rPr>
                <w:b/>
                <w:sz w:val="28"/>
                <w:szCs w:val="28"/>
              </w:rPr>
              <w:t>УНИЦИПАЛЬНОЕ ОБРАЗОВАНИЕ</w:t>
            </w:r>
          </w:p>
        </w:tc>
      </w:tr>
      <w:tr w:rsidR="009B7923" w:rsidRPr="002264C1" w:rsidTr="00CF0E34">
        <w:trPr>
          <w:jc w:val="center"/>
        </w:trPr>
        <w:tc>
          <w:tcPr>
            <w:tcW w:w="9605" w:type="dxa"/>
            <w:gridSpan w:val="2"/>
          </w:tcPr>
          <w:p w:rsidR="009B7923" w:rsidRPr="002264C1" w:rsidRDefault="009B7923" w:rsidP="0076256F">
            <w:pPr>
              <w:jc w:val="center"/>
              <w:rPr>
                <w:b/>
                <w:sz w:val="28"/>
                <w:szCs w:val="28"/>
              </w:rPr>
            </w:pPr>
            <w:r w:rsidRPr="002264C1">
              <w:rPr>
                <w:b/>
                <w:sz w:val="28"/>
                <w:szCs w:val="28"/>
              </w:rPr>
              <w:t>БОГУЧАРОВСКОЕ КИРЕЕВСКОГО РАЙОНА</w:t>
            </w:r>
          </w:p>
        </w:tc>
      </w:tr>
      <w:tr w:rsidR="009B7923" w:rsidRPr="002264C1" w:rsidTr="00CF0E34">
        <w:trPr>
          <w:jc w:val="center"/>
        </w:trPr>
        <w:tc>
          <w:tcPr>
            <w:tcW w:w="9605" w:type="dxa"/>
            <w:gridSpan w:val="2"/>
          </w:tcPr>
          <w:p w:rsidR="009B7923" w:rsidRPr="002264C1" w:rsidRDefault="00421F65" w:rsidP="00CF0E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СОБРАНИЕ ДЕПУТАТОВ </w:t>
            </w:r>
            <w:r w:rsidR="00CF0E34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>-</w:t>
            </w:r>
            <w:r w:rsidR="009B7923" w:rsidRPr="002264C1">
              <w:rPr>
                <w:b/>
                <w:sz w:val="28"/>
                <w:szCs w:val="28"/>
              </w:rPr>
              <w:t>ГО СОЗЫВА</w:t>
            </w:r>
          </w:p>
        </w:tc>
      </w:tr>
      <w:tr w:rsidR="009B7923" w:rsidRPr="002264C1" w:rsidTr="00CF0E34">
        <w:trPr>
          <w:jc w:val="center"/>
        </w:trPr>
        <w:tc>
          <w:tcPr>
            <w:tcW w:w="9605" w:type="dxa"/>
            <w:gridSpan w:val="2"/>
          </w:tcPr>
          <w:p w:rsidR="009B7923" w:rsidRPr="002264C1" w:rsidRDefault="00CB5AC9" w:rsidP="001F72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  <w:r w:rsidR="008A1B68">
              <w:rPr>
                <w:b/>
                <w:sz w:val="28"/>
                <w:szCs w:val="28"/>
              </w:rPr>
              <w:t>-</w:t>
            </w:r>
            <w:r w:rsidR="009B7923" w:rsidRPr="002264C1">
              <w:rPr>
                <w:b/>
                <w:sz w:val="28"/>
                <w:szCs w:val="28"/>
              </w:rPr>
              <w:t>Е ЗАСЕДАНИЕ</w:t>
            </w:r>
          </w:p>
        </w:tc>
      </w:tr>
      <w:tr w:rsidR="009B7923" w:rsidRPr="002264C1" w:rsidTr="00CF0E34">
        <w:trPr>
          <w:jc w:val="center"/>
        </w:trPr>
        <w:tc>
          <w:tcPr>
            <w:tcW w:w="9605" w:type="dxa"/>
            <w:gridSpan w:val="2"/>
          </w:tcPr>
          <w:p w:rsidR="009B7923" w:rsidRPr="002264C1" w:rsidRDefault="009B7923" w:rsidP="0076256F">
            <w:pPr>
              <w:jc w:val="center"/>
              <w:rPr>
                <w:sz w:val="28"/>
                <w:szCs w:val="28"/>
              </w:rPr>
            </w:pPr>
          </w:p>
        </w:tc>
      </w:tr>
      <w:tr w:rsidR="009B7923" w:rsidRPr="002264C1" w:rsidTr="00CF0E34">
        <w:trPr>
          <w:jc w:val="center"/>
        </w:trPr>
        <w:tc>
          <w:tcPr>
            <w:tcW w:w="9605" w:type="dxa"/>
            <w:gridSpan w:val="2"/>
          </w:tcPr>
          <w:p w:rsidR="009B7923" w:rsidRPr="002264C1" w:rsidRDefault="009B7923" w:rsidP="007074EA">
            <w:pPr>
              <w:jc w:val="right"/>
              <w:rPr>
                <w:sz w:val="28"/>
                <w:szCs w:val="28"/>
              </w:rPr>
            </w:pPr>
          </w:p>
        </w:tc>
      </w:tr>
      <w:tr w:rsidR="009B7923" w:rsidRPr="002264C1" w:rsidTr="00CF0E34">
        <w:trPr>
          <w:jc w:val="center"/>
        </w:trPr>
        <w:tc>
          <w:tcPr>
            <w:tcW w:w="9605" w:type="dxa"/>
            <w:gridSpan w:val="2"/>
          </w:tcPr>
          <w:p w:rsidR="009B7923" w:rsidRPr="002264C1" w:rsidRDefault="009B7923" w:rsidP="0076256F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r w:rsidRPr="002264C1">
              <w:rPr>
                <w:b/>
                <w:sz w:val="28"/>
                <w:szCs w:val="28"/>
              </w:rPr>
              <w:t>РЕШЕНИЕ</w:t>
            </w:r>
          </w:p>
        </w:tc>
      </w:tr>
      <w:tr w:rsidR="009B7923" w:rsidRPr="002264C1" w:rsidTr="00CF0E34">
        <w:trPr>
          <w:jc w:val="center"/>
        </w:trPr>
        <w:tc>
          <w:tcPr>
            <w:tcW w:w="9605" w:type="dxa"/>
            <w:gridSpan w:val="2"/>
          </w:tcPr>
          <w:p w:rsidR="009B7923" w:rsidRPr="002264C1" w:rsidRDefault="009B7923" w:rsidP="0076256F">
            <w:pPr>
              <w:jc w:val="center"/>
              <w:rPr>
                <w:sz w:val="28"/>
                <w:szCs w:val="28"/>
              </w:rPr>
            </w:pPr>
          </w:p>
        </w:tc>
      </w:tr>
      <w:tr w:rsidR="009B7923" w:rsidRPr="00E030DC" w:rsidTr="00CF0E34">
        <w:trPr>
          <w:jc w:val="center"/>
        </w:trPr>
        <w:tc>
          <w:tcPr>
            <w:tcW w:w="4785" w:type="dxa"/>
          </w:tcPr>
          <w:p w:rsidR="009B7923" w:rsidRPr="00E030DC" w:rsidRDefault="00CF0E34" w:rsidP="00CB5AC9">
            <w:pPr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от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  <w:r w:rsidR="00CB5AC9">
              <w:rPr>
                <w:b/>
                <w:sz w:val="28"/>
                <w:szCs w:val="28"/>
              </w:rPr>
              <w:t xml:space="preserve">15 ноября </w:t>
            </w:r>
            <w:r w:rsidR="009B7923" w:rsidRPr="00E030DC">
              <w:rPr>
                <w:b/>
                <w:sz w:val="28"/>
                <w:szCs w:val="28"/>
              </w:rPr>
              <w:t>201</w:t>
            </w:r>
            <w:r>
              <w:rPr>
                <w:b/>
                <w:sz w:val="28"/>
                <w:szCs w:val="28"/>
              </w:rPr>
              <w:t>9</w:t>
            </w:r>
            <w:r w:rsidR="009B7923" w:rsidRPr="00E030DC">
              <w:rPr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4820" w:type="dxa"/>
          </w:tcPr>
          <w:p w:rsidR="009B7923" w:rsidRPr="00E030DC" w:rsidRDefault="008A1B68" w:rsidP="00CB5AC9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r w:rsidR="00CB5AC9">
              <w:rPr>
                <w:b/>
                <w:sz w:val="28"/>
                <w:szCs w:val="28"/>
              </w:rPr>
              <w:t>17-47</w:t>
            </w:r>
          </w:p>
        </w:tc>
      </w:tr>
    </w:tbl>
    <w:p w:rsidR="009B7923" w:rsidRDefault="009B7923" w:rsidP="009B7923">
      <w:pPr>
        <w:jc w:val="center"/>
        <w:rPr>
          <w:b/>
          <w:sz w:val="28"/>
          <w:szCs w:val="28"/>
        </w:rPr>
      </w:pPr>
    </w:p>
    <w:p w:rsidR="009B7923" w:rsidRDefault="009B7923" w:rsidP="009B7923">
      <w:pPr>
        <w:jc w:val="center"/>
      </w:pPr>
    </w:p>
    <w:p w:rsidR="00CF0E34" w:rsidRPr="00CF0E34" w:rsidRDefault="00CF0E34" w:rsidP="00CF0E34">
      <w:pPr>
        <w:ind w:firstLine="709"/>
        <w:contextualSpacing/>
        <w:jc w:val="center"/>
        <w:rPr>
          <w:sz w:val="28"/>
          <w:szCs w:val="28"/>
        </w:rPr>
      </w:pPr>
      <w:r w:rsidRPr="00CF0E34">
        <w:rPr>
          <w:b/>
          <w:sz w:val="28"/>
          <w:szCs w:val="28"/>
        </w:rPr>
        <w:t xml:space="preserve">Об установлении налога на имущество физических лиц </w:t>
      </w:r>
    </w:p>
    <w:bookmarkEnd w:id="0"/>
    <w:p w:rsidR="009B7923" w:rsidRDefault="009B7923" w:rsidP="009B7923">
      <w:pPr>
        <w:rPr>
          <w:sz w:val="28"/>
          <w:szCs w:val="28"/>
        </w:rPr>
      </w:pPr>
    </w:p>
    <w:p w:rsidR="00CF0E34" w:rsidRPr="00CF0E34" w:rsidRDefault="00CF0E34" w:rsidP="00CF0E34">
      <w:pPr>
        <w:pStyle w:val="1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0E3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04 октября 2014 года № 284-ФЗ «О внесении изменений в статьи 12 и 85 части первой и часть вторую Налогового кодекса Российской Федерации «О налогах на имущество физических лиц», Федеральным законом от 06 октября 2003 года № 131-ФЗ «Об общих принципах организации местного самоуправления в Российской Федерации», Законом Тульской области от 20 ноября 2014 года № 2219-ЗТО «Об установлении единой даты начала применения на территории Тульской области порядка определения налоговой базы по налогу на имущество физических лиц исходя из кадастровой стоимости объектов </w:t>
      </w:r>
      <w:proofErr w:type="spellStart"/>
      <w:r w:rsidRPr="00CF0E34">
        <w:rPr>
          <w:rFonts w:ascii="Times New Roman" w:hAnsi="Times New Roman" w:cs="Times New Roman"/>
          <w:sz w:val="28"/>
          <w:szCs w:val="28"/>
        </w:rPr>
        <w:t>налогообложения»,на</w:t>
      </w:r>
      <w:proofErr w:type="spellEnd"/>
      <w:r w:rsidRPr="00CF0E34">
        <w:rPr>
          <w:rFonts w:ascii="Times New Roman" w:hAnsi="Times New Roman" w:cs="Times New Roman"/>
          <w:sz w:val="28"/>
          <w:szCs w:val="28"/>
        </w:rPr>
        <w:t xml:space="preserve"> основании Устава муниципального образования </w:t>
      </w:r>
      <w:proofErr w:type="spellStart"/>
      <w:r w:rsidRPr="00CF0E34">
        <w:rPr>
          <w:rFonts w:ascii="Times New Roman" w:hAnsi="Times New Roman" w:cs="Times New Roman"/>
          <w:sz w:val="28"/>
          <w:szCs w:val="28"/>
        </w:rPr>
        <w:t>Богучаровское</w:t>
      </w:r>
      <w:proofErr w:type="spellEnd"/>
      <w:r w:rsidRPr="00CF0E34">
        <w:rPr>
          <w:rFonts w:ascii="Times New Roman" w:hAnsi="Times New Roman" w:cs="Times New Roman"/>
          <w:sz w:val="28"/>
          <w:szCs w:val="28"/>
        </w:rPr>
        <w:t xml:space="preserve"> Киреевского района, Собрание депутатов муниципального образования </w:t>
      </w:r>
      <w:proofErr w:type="spellStart"/>
      <w:r w:rsidRPr="00CF0E34">
        <w:rPr>
          <w:rFonts w:ascii="Times New Roman" w:hAnsi="Times New Roman" w:cs="Times New Roman"/>
          <w:sz w:val="28"/>
          <w:szCs w:val="28"/>
        </w:rPr>
        <w:t>Богучаровское</w:t>
      </w:r>
      <w:proofErr w:type="spellEnd"/>
      <w:r w:rsidRPr="00CF0E34">
        <w:rPr>
          <w:rFonts w:ascii="Times New Roman" w:hAnsi="Times New Roman" w:cs="Times New Roman"/>
          <w:sz w:val="28"/>
          <w:szCs w:val="28"/>
        </w:rPr>
        <w:t xml:space="preserve"> Киреевского района РЕШИЛО:</w:t>
      </w:r>
    </w:p>
    <w:p w:rsidR="00CF0E34" w:rsidRPr="00CF0E34" w:rsidRDefault="00CF0E34" w:rsidP="00CF0E34">
      <w:pPr>
        <w:pStyle w:val="1"/>
        <w:numPr>
          <w:ilvl w:val="0"/>
          <w:numId w:val="1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0E34">
        <w:rPr>
          <w:rFonts w:ascii="Times New Roman" w:hAnsi="Times New Roman" w:cs="Times New Roman"/>
          <w:sz w:val="28"/>
          <w:szCs w:val="28"/>
        </w:rPr>
        <w:t>Установить и в</w:t>
      </w:r>
      <w:r>
        <w:rPr>
          <w:rFonts w:ascii="Times New Roman" w:hAnsi="Times New Roman" w:cs="Times New Roman"/>
          <w:sz w:val="28"/>
          <w:szCs w:val="28"/>
        </w:rPr>
        <w:t>вести в действие с 01 января 2020</w:t>
      </w:r>
      <w:r w:rsidRPr="00CF0E34">
        <w:rPr>
          <w:rFonts w:ascii="Times New Roman" w:hAnsi="Times New Roman" w:cs="Times New Roman"/>
          <w:sz w:val="28"/>
          <w:szCs w:val="28"/>
        </w:rPr>
        <w:t xml:space="preserve"> года на территории муниципального образования </w:t>
      </w:r>
      <w:proofErr w:type="spellStart"/>
      <w:r w:rsidRPr="00CF0E34">
        <w:rPr>
          <w:rFonts w:ascii="Times New Roman" w:hAnsi="Times New Roman" w:cs="Times New Roman"/>
          <w:sz w:val="28"/>
          <w:szCs w:val="28"/>
        </w:rPr>
        <w:t>Богучаровское</w:t>
      </w:r>
      <w:proofErr w:type="spellEnd"/>
      <w:r w:rsidRPr="00CF0E34">
        <w:rPr>
          <w:rFonts w:ascii="Times New Roman" w:hAnsi="Times New Roman" w:cs="Times New Roman"/>
          <w:sz w:val="28"/>
          <w:szCs w:val="28"/>
        </w:rPr>
        <w:t xml:space="preserve"> Киреевского района налог на имущество физических лиц, порядок и сроки уплаты налога на имущество, находящегося в пределах границ муниципального образования </w:t>
      </w:r>
      <w:proofErr w:type="spellStart"/>
      <w:r w:rsidRPr="00CF0E34">
        <w:rPr>
          <w:rFonts w:ascii="Times New Roman" w:hAnsi="Times New Roman" w:cs="Times New Roman"/>
          <w:sz w:val="28"/>
          <w:szCs w:val="28"/>
        </w:rPr>
        <w:t>Богучаровское</w:t>
      </w:r>
      <w:proofErr w:type="spellEnd"/>
      <w:r w:rsidRPr="00CF0E34">
        <w:rPr>
          <w:rFonts w:ascii="Times New Roman" w:hAnsi="Times New Roman" w:cs="Times New Roman"/>
          <w:sz w:val="28"/>
          <w:szCs w:val="28"/>
        </w:rPr>
        <w:t xml:space="preserve"> Киреевского района.</w:t>
      </w:r>
    </w:p>
    <w:p w:rsidR="00CF0E34" w:rsidRPr="00CF0E34" w:rsidRDefault="00CF0E34" w:rsidP="00CF0E34">
      <w:pPr>
        <w:pStyle w:val="1"/>
        <w:numPr>
          <w:ilvl w:val="0"/>
          <w:numId w:val="1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0E34">
        <w:rPr>
          <w:rFonts w:ascii="Times New Roman" w:hAnsi="Times New Roman" w:cs="Times New Roman"/>
          <w:sz w:val="28"/>
          <w:szCs w:val="28"/>
        </w:rPr>
        <w:t>Установить, что налоговая база по налогу в отношении объектов налогообложения определяется исходя из их кадастровой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0E34">
        <w:rPr>
          <w:rFonts w:ascii="Times New Roman" w:hAnsi="Times New Roman" w:cs="Times New Roman"/>
          <w:sz w:val="28"/>
          <w:szCs w:val="28"/>
        </w:rPr>
        <w:t xml:space="preserve">стоимости. </w:t>
      </w:r>
    </w:p>
    <w:p w:rsidR="00CF0E34" w:rsidRPr="00CF0E34" w:rsidRDefault="00CF0E34" w:rsidP="00CF0E34">
      <w:pPr>
        <w:pStyle w:val="1"/>
        <w:numPr>
          <w:ilvl w:val="0"/>
          <w:numId w:val="1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0E34">
        <w:rPr>
          <w:rFonts w:ascii="Times New Roman" w:hAnsi="Times New Roman" w:cs="Times New Roman"/>
          <w:sz w:val="28"/>
          <w:szCs w:val="28"/>
        </w:rPr>
        <w:t>Установить следующие налоговые ставки по налогу:</w:t>
      </w:r>
    </w:p>
    <w:p w:rsidR="00CF0E34" w:rsidRPr="00CF0E34" w:rsidRDefault="00CF0E34" w:rsidP="00CF0E34">
      <w:pPr>
        <w:pStyle w:val="1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0E34">
        <w:rPr>
          <w:rFonts w:ascii="Times New Roman" w:hAnsi="Times New Roman" w:cs="Times New Roman"/>
          <w:sz w:val="28"/>
          <w:szCs w:val="28"/>
        </w:rPr>
        <w:t xml:space="preserve">1) </w:t>
      </w:r>
      <w:r w:rsidRPr="00CF0E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жилых домов, частей жилых домов, квартир, частей квартир, комнат; объектов незавершенного строительства в случае, если проектируемым назначением таких объектов является жилой дом; единых недвижимых комплексов, в состав которых входит хотя бы один жилой дом; гаражей и </w:t>
      </w:r>
      <w:proofErr w:type="spellStart"/>
      <w:r w:rsidRPr="00CF0E34">
        <w:rPr>
          <w:rFonts w:ascii="Times New Roman" w:hAnsi="Times New Roman" w:cs="Times New Roman"/>
          <w:sz w:val="28"/>
          <w:szCs w:val="28"/>
          <w:shd w:val="clear" w:color="auto" w:fill="FFFFFF"/>
        </w:rPr>
        <w:t>машино</w:t>
      </w:r>
      <w:proofErr w:type="spellEnd"/>
      <w:r w:rsidRPr="00CF0E34">
        <w:rPr>
          <w:rFonts w:ascii="Times New Roman" w:hAnsi="Times New Roman" w:cs="Times New Roman"/>
          <w:sz w:val="28"/>
          <w:szCs w:val="28"/>
          <w:shd w:val="clear" w:color="auto" w:fill="FFFFFF"/>
        </w:rPr>
        <w:t>-мест</w:t>
      </w:r>
      <w:r w:rsidR="00F472D2">
        <w:rPr>
          <w:rFonts w:ascii="Times New Roman" w:hAnsi="Times New Roman" w:cs="Times New Roman"/>
          <w:sz w:val="28"/>
          <w:szCs w:val="28"/>
          <w:shd w:val="clear" w:color="auto" w:fill="FFFFFF"/>
        </w:rPr>
        <w:t>, в том числе расположенных в объектах налогообложения, указанных в подпункте 2 пункта 2 статьи 406 Налогового кодекса РФ</w:t>
      </w:r>
      <w:r w:rsidRPr="00CF0E34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Pr="00CF0E34">
        <w:rPr>
          <w:rFonts w:ascii="Times New Roman" w:hAnsi="Times New Roman" w:cs="Times New Roman"/>
          <w:sz w:val="28"/>
          <w:szCs w:val="28"/>
        </w:rPr>
        <w:t xml:space="preserve"> </w:t>
      </w:r>
      <w:r w:rsidR="008E4DC5" w:rsidRPr="008E4DC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</w:t>
      </w:r>
      <w:r w:rsidR="008E4DC5">
        <w:rPr>
          <w:rFonts w:ascii="Times New Roman" w:hAnsi="Times New Roman" w:cs="Times New Roman"/>
          <w:sz w:val="28"/>
          <w:szCs w:val="28"/>
        </w:rPr>
        <w:t xml:space="preserve"> </w:t>
      </w:r>
      <w:r w:rsidRPr="00CF0E34">
        <w:rPr>
          <w:rFonts w:ascii="Times New Roman" w:hAnsi="Times New Roman" w:cs="Times New Roman"/>
          <w:sz w:val="28"/>
          <w:szCs w:val="28"/>
        </w:rPr>
        <w:t>– 0,1 процента;</w:t>
      </w:r>
    </w:p>
    <w:p w:rsidR="00CF0E34" w:rsidRPr="00CF0E34" w:rsidRDefault="00CF0E34" w:rsidP="00CF0E34">
      <w:pPr>
        <w:pStyle w:val="1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0E34">
        <w:rPr>
          <w:rFonts w:ascii="Times New Roman" w:hAnsi="Times New Roman" w:cs="Times New Roman"/>
          <w:sz w:val="28"/>
          <w:szCs w:val="28"/>
        </w:rPr>
        <w:t xml:space="preserve">2) объектов налогообложения, включенных в перечень, определяемый в соответствии с пунктом 7 статьи 378.2 Налогового кодекса, а также объектов </w:t>
      </w:r>
      <w:r w:rsidRPr="00CF0E34">
        <w:rPr>
          <w:rFonts w:ascii="Times New Roman" w:hAnsi="Times New Roman" w:cs="Times New Roman"/>
          <w:sz w:val="28"/>
          <w:szCs w:val="28"/>
        </w:rPr>
        <w:lastRenderedPageBreak/>
        <w:t>налогообложения, предусмотренных абзацем вторым пункта 10 статьи 378.2 Налогового кодекса Российской Федерации, а также в отношении объектов налогообложения, кадастровая стоимость каждого из которых превышает 300 млн. рублей, - 2 процента;</w:t>
      </w:r>
    </w:p>
    <w:p w:rsidR="00CF0E34" w:rsidRPr="00CF0E34" w:rsidRDefault="00CF0E34" w:rsidP="00CF0E34">
      <w:pPr>
        <w:pStyle w:val="1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0E34">
        <w:rPr>
          <w:rFonts w:ascii="Times New Roman" w:hAnsi="Times New Roman" w:cs="Times New Roman"/>
          <w:sz w:val="28"/>
          <w:szCs w:val="28"/>
        </w:rPr>
        <w:t>3) для прочих объектов налогообложения – 0,5 процента.</w:t>
      </w:r>
    </w:p>
    <w:p w:rsidR="00CF0E34" w:rsidRPr="00CF0E34" w:rsidRDefault="00CF0E34" w:rsidP="00CF0E34">
      <w:pPr>
        <w:ind w:firstLine="709"/>
        <w:contextualSpacing/>
        <w:jc w:val="both"/>
        <w:rPr>
          <w:sz w:val="28"/>
          <w:szCs w:val="28"/>
        </w:rPr>
      </w:pPr>
      <w:r w:rsidRPr="00CF0E34">
        <w:rPr>
          <w:sz w:val="28"/>
          <w:szCs w:val="28"/>
        </w:rPr>
        <w:t>4. Установить, что право на налоговую льготу в виде полного освобождения от уплаты налога имеют следующие категории налогоплательщиков:</w:t>
      </w:r>
    </w:p>
    <w:p w:rsidR="00CF0E34" w:rsidRPr="00CF0E34" w:rsidRDefault="00CF0E34" w:rsidP="00CF0E34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F0E34">
        <w:rPr>
          <w:sz w:val="28"/>
          <w:szCs w:val="28"/>
        </w:rPr>
        <w:t>4.1. Ветераны (участники) ВОВ.</w:t>
      </w:r>
    </w:p>
    <w:p w:rsidR="00CF0E34" w:rsidRPr="00CF0E34" w:rsidRDefault="00CF0E34" w:rsidP="00CF0E34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F0E34">
        <w:rPr>
          <w:sz w:val="28"/>
          <w:szCs w:val="28"/>
        </w:rPr>
        <w:t>4.2. Многодетные семьи.</w:t>
      </w:r>
    </w:p>
    <w:p w:rsidR="00CF0E34" w:rsidRDefault="00CF0E34" w:rsidP="00CF0E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0E34">
        <w:rPr>
          <w:sz w:val="28"/>
          <w:szCs w:val="28"/>
        </w:rPr>
        <w:t xml:space="preserve">Физические лица, имеющие право на налоговые льготы, представляют в налоговый орган по своему выбору </w:t>
      </w:r>
      <w:hyperlink r:id="rId8" w:history="1">
        <w:r w:rsidRPr="00CF0E34">
          <w:rPr>
            <w:sz w:val="28"/>
            <w:szCs w:val="28"/>
          </w:rPr>
          <w:t>заявление</w:t>
        </w:r>
      </w:hyperlink>
      <w:r w:rsidRPr="00CF0E34">
        <w:rPr>
          <w:sz w:val="28"/>
          <w:szCs w:val="28"/>
        </w:rPr>
        <w:t xml:space="preserve"> о предоставлении налоговой льготы, а также вправе представить </w:t>
      </w:r>
      <w:hyperlink r:id="rId9" w:history="1">
        <w:r w:rsidRPr="00CF0E34">
          <w:rPr>
            <w:sz w:val="28"/>
            <w:szCs w:val="28"/>
          </w:rPr>
          <w:t>документы</w:t>
        </w:r>
      </w:hyperlink>
      <w:r w:rsidRPr="00CF0E34">
        <w:rPr>
          <w:sz w:val="28"/>
          <w:szCs w:val="28"/>
        </w:rPr>
        <w:t>, подтверждающие право налогоплательщика на налоговую льготу.</w:t>
      </w:r>
      <w:r>
        <w:rPr>
          <w:sz w:val="28"/>
          <w:szCs w:val="28"/>
        </w:rPr>
        <w:t xml:space="preserve"> В случае, если налогоплательщик – физическое лицо, имеющий право на налоговую льготу, не предоставил в налоговый орган заявление о предоставлении налоговой льготы или не сообщил об отказе от применения налоговой льготы, налоговая льгота предоставляется на основании сведений, полученных налоговым органом в соответствии с Налоговым кодексом Российской Федерации и другими </w:t>
      </w:r>
      <w:proofErr w:type="gramStart"/>
      <w:r>
        <w:rPr>
          <w:sz w:val="28"/>
          <w:szCs w:val="28"/>
        </w:rPr>
        <w:t>федеральными  законами</w:t>
      </w:r>
      <w:proofErr w:type="gramEnd"/>
      <w:r>
        <w:rPr>
          <w:sz w:val="28"/>
          <w:szCs w:val="28"/>
        </w:rPr>
        <w:t xml:space="preserve">.  </w:t>
      </w:r>
    </w:p>
    <w:p w:rsidR="00CF0E34" w:rsidRPr="00CF0E34" w:rsidRDefault="00CF0E34" w:rsidP="00CF0E34">
      <w:pPr>
        <w:pStyle w:val="a9"/>
        <w:numPr>
          <w:ilvl w:val="0"/>
          <w:numId w:val="2"/>
        </w:numPr>
        <w:autoSpaceDE w:val="0"/>
        <w:autoSpaceDN w:val="0"/>
        <w:adjustRightInd w:val="0"/>
        <w:ind w:left="0" w:firstLine="698"/>
        <w:jc w:val="both"/>
        <w:rPr>
          <w:sz w:val="28"/>
          <w:szCs w:val="28"/>
        </w:rPr>
      </w:pPr>
      <w:r w:rsidRPr="00CF0E34">
        <w:rPr>
          <w:sz w:val="28"/>
          <w:szCs w:val="28"/>
        </w:rPr>
        <w:t xml:space="preserve">Признать утратившим силу решение Собрания депутатов </w:t>
      </w:r>
      <w:r>
        <w:rPr>
          <w:sz w:val="28"/>
          <w:szCs w:val="28"/>
        </w:rPr>
        <w:t>от 27 ноября 2018 года № 3-14 «Об установлении налога на имущество физических лиц».</w:t>
      </w:r>
    </w:p>
    <w:p w:rsidR="00CF0E34" w:rsidRPr="00CF0E34" w:rsidRDefault="00CF0E34" w:rsidP="00CF0E34">
      <w:pPr>
        <w:pStyle w:val="a8"/>
        <w:shd w:val="clear" w:color="auto" w:fill="FFFFFF"/>
        <w:spacing w:before="0" w:beforeAutospacing="0" w:after="0" w:afterAutospacing="0"/>
        <w:ind w:firstLine="708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CF0E34">
        <w:rPr>
          <w:sz w:val="28"/>
          <w:szCs w:val="28"/>
        </w:rPr>
        <w:t>Настоящее Решение опубликовать</w:t>
      </w:r>
      <w:r>
        <w:rPr>
          <w:sz w:val="28"/>
          <w:szCs w:val="28"/>
        </w:rPr>
        <w:t xml:space="preserve"> </w:t>
      </w:r>
      <w:r w:rsidRPr="00CF0E34">
        <w:rPr>
          <w:sz w:val="28"/>
          <w:szCs w:val="28"/>
        </w:rPr>
        <w:t>в общественно-политической газете</w:t>
      </w:r>
      <w:r>
        <w:rPr>
          <w:sz w:val="28"/>
          <w:szCs w:val="28"/>
        </w:rPr>
        <w:t xml:space="preserve"> </w:t>
      </w:r>
      <w:r w:rsidRPr="00CF0E34">
        <w:rPr>
          <w:sz w:val="28"/>
          <w:szCs w:val="28"/>
        </w:rPr>
        <w:t xml:space="preserve">«Маяк», Киреевский район» и на сайте муниципального образования Киреевский район в разделе муниципального образования </w:t>
      </w:r>
      <w:proofErr w:type="spellStart"/>
      <w:r w:rsidRPr="00CF0E34">
        <w:rPr>
          <w:sz w:val="28"/>
          <w:szCs w:val="28"/>
        </w:rPr>
        <w:t>Богучаровское</w:t>
      </w:r>
      <w:proofErr w:type="spellEnd"/>
      <w:r w:rsidRPr="00CF0E34">
        <w:rPr>
          <w:sz w:val="28"/>
          <w:szCs w:val="28"/>
        </w:rPr>
        <w:t xml:space="preserve"> Киреевского района.</w:t>
      </w:r>
    </w:p>
    <w:p w:rsidR="00CF0E34" w:rsidRPr="00CF0E34" w:rsidRDefault="00CF0E34" w:rsidP="00CF0E3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CF0E34">
        <w:rPr>
          <w:sz w:val="28"/>
          <w:szCs w:val="28"/>
        </w:rPr>
        <w:t>. Настоящее Решение вступает в силу по истечении месяца со дня официального опубликования и распространяет свое действие на правоотноше</w:t>
      </w:r>
      <w:r>
        <w:rPr>
          <w:sz w:val="28"/>
          <w:szCs w:val="28"/>
        </w:rPr>
        <w:t>ния, возникающие с 01 января 2020</w:t>
      </w:r>
      <w:r w:rsidRPr="00CF0E34">
        <w:rPr>
          <w:sz w:val="28"/>
          <w:szCs w:val="28"/>
        </w:rPr>
        <w:t xml:space="preserve"> года.</w:t>
      </w:r>
    </w:p>
    <w:p w:rsidR="009B7923" w:rsidRDefault="009B7923" w:rsidP="009B7923">
      <w:pPr>
        <w:jc w:val="center"/>
      </w:pPr>
    </w:p>
    <w:p w:rsidR="009B7923" w:rsidRDefault="009B7923" w:rsidP="009B7923">
      <w:pPr>
        <w:jc w:val="center"/>
      </w:pPr>
    </w:p>
    <w:p w:rsidR="009B7923" w:rsidRDefault="009B7923" w:rsidP="009B7923">
      <w:pPr>
        <w:jc w:val="center"/>
      </w:pPr>
    </w:p>
    <w:p w:rsidR="009B7923" w:rsidRPr="00D136DF" w:rsidRDefault="009B7923" w:rsidP="009B7923">
      <w:pPr>
        <w:jc w:val="both"/>
        <w:rPr>
          <w:b/>
          <w:sz w:val="28"/>
          <w:szCs w:val="28"/>
        </w:rPr>
      </w:pPr>
      <w:r w:rsidRPr="00D136DF">
        <w:rPr>
          <w:b/>
          <w:sz w:val="28"/>
          <w:szCs w:val="28"/>
        </w:rPr>
        <w:t>Глава муниципального образования</w:t>
      </w:r>
    </w:p>
    <w:p w:rsidR="009B7923" w:rsidRDefault="009B7923" w:rsidP="009B7923">
      <w:pPr>
        <w:jc w:val="both"/>
        <w:rPr>
          <w:b/>
          <w:sz w:val="28"/>
          <w:szCs w:val="28"/>
        </w:rPr>
      </w:pPr>
      <w:proofErr w:type="spellStart"/>
      <w:r w:rsidRPr="00D136DF">
        <w:rPr>
          <w:b/>
          <w:sz w:val="28"/>
          <w:szCs w:val="28"/>
        </w:rPr>
        <w:t>Богучаровское</w:t>
      </w:r>
      <w:proofErr w:type="spellEnd"/>
      <w:r w:rsidRPr="00D136DF">
        <w:rPr>
          <w:b/>
          <w:sz w:val="28"/>
          <w:szCs w:val="28"/>
        </w:rPr>
        <w:t xml:space="preserve"> Киреевского района                                   </w:t>
      </w:r>
      <w:r w:rsidR="00421F65">
        <w:rPr>
          <w:b/>
          <w:sz w:val="28"/>
          <w:szCs w:val="28"/>
        </w:rPr>
        <w:t xml:space="preserve">     </w:t>
      </w:r>
      <w:proofErr w:type="spellStart"/>
      <w:r w:rsidR="00421F65">
        <w:rPr>
          <w:b/>
          <w:sz w:val="28"/>
          <w:szCs w:val="28"/>
        </w:rPr>
        <w:t>О.А.Валуев</w:t>
      </w:r>
      <w:proofErr w:type="spellEnd"/>
    </w:p>
    <w:p w:rsidR="009B7923" w:rsidRDefault="009B7923" w:rsidP="009B7923">
      <w:pPr>
        <w:jc w:val="center"/>
      </w:pPr>
    </w:p>
    <w:p w:rsidR="00EB7AF0" w:rsidRDefault="00EB7AF0" w:rsidP="00CB6A9E">
      <w:pPr>
        <w:rPr>
          <w:sz w:val="28"/>
          <w:szCs w:val="28"/>
        </w:rPr>
      </w:pPr>
    </w:p>
    <w:p w:rsidR="008E17C2" w:rsidRDefault="008E17C2" w:rsidP="009B7923">
      <w:pPr>
        <w:jc w:val="right"/>
        <w:rPr>
          <w:sz w:val="28"/>
          <w:szCs w:val="28"/>
        </w:rPr>
      </w:pPr>
    </w:p>
    <w:p w:rsidR="008E17C2" w:rsidRDefault="008E17C2" w:rsidP="009B7923">
      <w:pPr>
        <w:jc w:val="right"/>
        <w:rPr>
          <w:sz w:val="28"/>
          <w:szCs w:val="28"/>
        </w:rPr>
      </w:pPr>
    </w:p>
    <w:p w:rsidR="008E17C2" w:rsidRDefault="008E17C2" w:rsidP="009B7923">
      <w:pPr>
        <w:jc w:val="right"/>
        <w:rPr>
          <w:sz w:val="28"/>
          <w:szCs w:val="28"/>
        </w:rPr>
      </w:pPr>
    </w:p>
    <w:p w:rsidR="008E17C2" w:rsidRDefault="008E17C2" w:rsidP="009B7923">
      <w:pPr>
        <w:jc w:val="right"/>
        <w:rPr>
          <w:sz w:val="28"/>
          <w:szCs w:val="28"/>
        </w:rPr>
      </w:pPr>
    </w:p>
    <w:p w:rsidR="008E17C2" w:rsidRDefault="008E17C2" w:rsidP="009B7923">
      <w:pPr>
        <w:jc w:val="right"/>
        <w:rPr>
          <w:sz w:val="28"/>
          <w:szCs w:val="28"/>
        </w:rPr>
      </w:pPr>
    </w:p>
    <w:p w:rsidR="008E17C2" w:rsidRDefault="008E17C2" w:rsidP="009B7923">
      <w:pPr>
        <w:jc w:val="right"/>
        <w:rPr>
          <w:sz w:val="28"/>
          <w:szCs w:val="28"/>
        </w:rPr>
      </w:pPr>
    </w:p>
    <w:sectPr w:rsidR="008E17C2" w:rsidSect="002A77B9">
      <w:headerReference w:type="default" r:id="rId10"/>
      <w:pgSz w:w="11906" w:h="16838" w:code="9"/>
      <w:pgMar w:top="851" w:right="849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4762" w:rsidRDefault="00334762" w:rsidP="00EB7AF0">
      <w:r>
        <w:separator/>
      </w:r>
    </w:p>
  </w:endnote>
  <w:endnote w:type="continuationSeparator" w:id="0">
    <w:p w:rsidR="00334762" w:rsidRDefault="00334762" w:rsidP="00EB7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4762" w:rsidRDefault="00334762" w:rsidP="00EB7AF0">
      <w:r>
        <w:separator/>
      </w:r>
    </w:p>
  </w:footnote>
  <w:footnote w:type="continuationSeparator" w:id="0">
    <w:p w:rsidR="00334762" w:rsidRDefault="00334762" w:rsidP="00EB7A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264157"/>
      <w:docPartObj>
        <w:docPartGallery w:val="Page Numbers (Top of Page)"/>
        <w:docPartUnique/>
      </w:docPartObj>
    </w:sdtPr>
    <w:sdtEndPr/>
    <w:sdtContent>
      <w:p w:rsidR="00EB7AF0" w:rsidRDefault="00CC1AC2" w:rsidP="00EB7AF0">
        <w:pPr>
          <w:pStyle w:val="a4"/>
          <w:jc w:val="right"/>
        </w:pPr>
        <w:r>
          <w:fldChar w:fldCharType="begin"/>
        </w:r>
        <w:r w:rsidR="00C72774">
          <w:instrText xml:space="preserve"> PAGE   \* MERGEFORMAT </w:instrText>
        </w:r>
        <w:r>
          <w:fldChar w:fldCharType="separate"/>
        </w:r>
        <w:r w:rsidR="003775B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002623"/>
    <w:multiLevelType w:val="hybridMultilevel"/>
    <w:tmpl w:val="7D9ADC0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304886"/>
    <w:multiLevelType w:val="hybridMultilevel"/>
    <w:tmpl w:val="F99C6766"/>
    <w:lvl w:ilvl="0" w:tplc="6CAEAFDC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923"/>
    <w:rsid w:val="00004C71"/>
    <w:rsid w:val="00095978"/>
    <w:rsid w:val="000E75BC"/>
    <w:rsid w:val="000F3791"/>
    <w:rsid w:val="00147318"/>
    <w:rsid w:val="00175693"/>
    <w:rsid w:val="001C7CAF"/>
    <w:rsid w:val="001F72A3"/>
    <w:rsid w:val="00211D44"/>
    <w:rsid w:val="00244FE8"/>
    <w:rsid w:val="002744A6"/>
    <w:rsid w:val="002A77B9"/>
    <w:rsid w:val="00334762"/>
    <w:rsid w:val="003717B4"/>
    <w:rsid w:val="003775B1"/>
    <w:rsid w:val="003A493F"/>
    <w:rsid w:val="00410646"/>
    <w:rsid w:val="00421F65"/>
    <w:rsid w:val="004252EB"/>
    <w:rsid w:val="0045653E"/>
    <w:rsid w:val="0048521E"/>
    <w:rsid w:val="004C1578"/>
    <w:rsid w:val="004D049F"/>
    <w:rsid w:val="004F7C86"/>
    <w:rsid w:val="005162B6"/>
    <w:rsid w:val="005E5289"/>
    <w:rsid w:val="0060014C"/>
    <w:rsid w:val="00603306"/>
    <w:rsid w:val="0062654A"/>
    <w:rsid w:val="00655044"/>
    <w:rsid w:val="006E6197"/>
    <w:rsid w:val="006F392A"/>
    <w:rsid w:val="00700036"/>
    <w:rsid w:val="007074EA"/>
    <w:rsid w:val="007154BC"/>
    <w:rsid w:val="00731CC7"/>
    <w:rsid w:val="00776B38"/>
    <w:rsid w:val="00780958"/>
    <w:rsid w:val="007E1741"/>
    <w:rsid w:val="007E38CF"/>
    <w:rsid w:val="0082369F"/>
    <w:rsid w:val="008438A1"/>
    <w:rsid w:val="008620D2"/>
    <w:rsid w:val="008A1B68"/>
    <w:rsid w:val="008A6CA0"/>
    <w:rsid w:val="008E17C2"/>
    <w:rsid w:val="008E4DC5"/>
    <w:rsid w:val="0092210F"/>
    <w:rsid w:val="00932E8E"/>
    <w:rsid w:val="009418AB"/>
    <w:rsid w:val="00950D10"/>
    <w:rsid w:val="009669FE"/>
    <w:rsid w:val="0098291E"/>
    <w:rsid w:val="009B7923"/>
    <w:rsid w:val="009D43BA"/>
    <w:rsid w:val="009F5E50"/>
    <w:rsid w:val="00A54F77"/>
    <w:rsid w:val="00A80BDD"/>
    <w:rsid w:val="00A816A4"/>
    <w:rsid w:val="00AA2F77"/>
    <w:rsid w:val="00AC09FE"/>
    <w:rsid w:val="00AF087C"/>
    <w:rsid w:val="00B312DF"/>
    <w:rsid w:val="00B4454D"/>
    <w:rsid w:val="00BB67B5"/>
    <w:rsid w:val="00BC0720"/>
    <w:rsid w:val="00BC771E"/>
    <w:rsid w:val="00BD1A45"/>
    <w:rsid w:val="00C41678"/>
    <w:rsid w:val="00C44179"/>
    <w:rsid w:val="00C72774"/>
    <w:rsid w:val="00C76763"/>
    <w:rsid w:val="00C860E6"/>
    <w:rsid w:val="00C95394"/>
    <w:rsid w:val="00CB5AC9"/>
    <w:rsid w:val="00CB6A9E"/>
    <w:rsid w:val="00CC1AC2"/>
    <w:rsid w:val="00CD2F78"/>
    <w:rsid w:val="00CD7A6D"/>
    <w:rsid w:val="00CE7CB3"/>
    <w:rsid w:val="00CF0E34"/>
    <w:rsid w:val="00D10E00"/>
    <w:rsid w:val="00D26707"/>
    <w:rsid w:val="00D70951"/>
    <w:rsid w:val="00D810D1"/>
    <w:rsid w:val="00DD4F32"/>
    <w:rsid w:val="00DE58E0"/>
    <w:rsid w:val="00EA1004"/>
    <w:rsid w:val="00EB7AF0"/>
    <w:rsid w:val="00EC1862"/>
    <w:rsid w:val="00F02302"/>
    <w:rsid w:val="00F17BA2"/>
    <w:rsid w:val="00F46A4F"/>
    <w:rsid w:val="00F472D2"/>
    <w:rsid w:val="00F66876"/>
    <w:rsid w:val="00FB37C7"/>
    <w:rsid w:val="00FC0068"/>
    <w:rsid w:val="00FC591B"/>
    <w:rsid w:val="00FE15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9B44C0-EB5F-40F5-A189-7DFD75C7F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79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792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B7AF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B7A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EB7AF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B7A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uiPriority w:val="99"/>
    <w:rsid w:val="00CF0E3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8">
    <w:name w:val="Normal (Web)"/>
    <w:basedOn w:val="a"/>
    <w:uiPriority w:val="99"/>
    <w:semiHidden/>
    <w:rsid w:val="00CF0E3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uiPriority w:val="99"/>
    <w:rsid w:val="00CF0E34"/>
    <w:rPr>
      <w:rFonts w:cs="Times New Roman"/>
    </w:rPr>
  </w:style>
  <w:style w:type="paragraph" w:styleId="a9">
    <w:name w:val="List Paragraph"/>
    <w:basedOn w:val="a"/>
    <w:uiPriority w:val="34"/>
    <w:qFormat/>
    <w:rsid w:val="00CF0E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F8D87837EB155B886D584EDCA0D7E74CB6BC9DB43A11E6266F332F4AF4B7B24378B7F8386EF8BA49D53E2D85BD9BC74C8BE3F38AD73C7BAZ7j6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F8D87837EB155B886D584EDCA0D7E74CB6BCBD24BA51E6266F332F4AF4B7B24378B7F8386EF8BA69F53E2D85BD9BC74C8BE3F38AD73C7BAZ7j6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0FE8D9-876C-47C9-8B47-D1D6A86AD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Виктор Александрович Лебедев</cp:lastModifiedBy>
  <cp:revision>2</cp:revision>
  <cp:lastPrinted>2019-11-15T06:45:00Z</cp:lastPrinted>
  <dcterms:created xsi:type="dcterms:W3CDTF">2025-04-25T06:57:00Z</dcterms:created>
  <dcterms:modified xsi:type="dcterms:W3CDTF">2025-04-25T06:57:00Z</dcterms:modified>
</cp:coreProperties>
</file>