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28065B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E67793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  <w:r w:rsidR="00224565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4785" w:type="dxa"/>
          </w:tcPr>
          <w:p w:rsidR="00C85E2C" w:rsidRPr="00B95154" w:rsidRDefault="00C85E2C" w:rsidP="00C85E2C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8065B" w:rsidRPr="00B95154">
              <w:rPr>
                <w:rFonts w:ascii="PT Astra Serif" w:hAnsi="PT Astra Serif"/>
                <w:sz w:val="28"/>
                <w:szCs w:val="28"/>
              </w:rPr>
              <w:t>О</w:t>
            </w:r>
            <w:r w:rsidRPr="00B95154">
              <w:rPr>
                <w:rFonts w:ascii="PT Astra Serif" w:hAnsi="PT Astra Serif"/>
                <w:sz w:val="28"/>
                <w:szCs w:val="28"/>
              </w:rPr>
              <w:t>т</w:t>
            </w:r>
            <w:r w:rsidR="0028065B">
              <w:rPr>
                <w:rFonts w:ascii="PT Astra Serif" w:hAnsi="PT Astra Serif"/>
                <w:sz w:val="28"/>
                <w:szCs w:val="28"/>
              </w:rPr>
              <w:t xml:space="preserve"> 17 ноября 2020</w:t>
            </w:r>
          </w:p>
        </w:tc>
        <w:tc>
          <w:tcPr>
            <w:tcW w:w="4786" w:type="dxa"/>
          </w:tcPr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8065B">
              <w:rPr>
                <w:rFonts w:ascii="PT Astra Serif" w:hAnsi="PT Astra Serif"/>
                <w:sz w:val="28"/>
                <w:szCs w:val="28"/>
              </w:rPr>
              <w:t>35-121</w:t>
            </w:r>
          </w:p>
        </w:tc>
      </w:tr>
    </w:tbl>
    <w:p w:rsidR="00C85E2C" w:rsidRPr="00B95154" w:rsidRDefault="00C85E2C" w:rsidP="00C85E2C">
      <w:pPr>
        <w:tabs>
          <w:tab w:val="left" w:pos="7080"/>
        </w:tabs>
        <w:spacing w:after="0" w:line="240" w:lineRule="auto"/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Порядка предоставления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муниципальных гарантий муниципального образования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Шварцевское Киреевского района</w:t>
      </w: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D652DA">
      <w:pPr>
        <w:tabs>
          <w:tab w:val="left" w:pos="4140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статьями 9, 115, 115.1, 115.2, 117 Бюджетного кодекса Российской Федерации, на основании Устава муниципального образования Шварцевское Киреевского района, решения Собрания депутатов муниципального образования Шварцевское Киреевского района от 30.11.2016 №50-154 «Об утверждении Положения о бюджетном процессе в муниципальном образовании Шварцевское Киреевского района» Администрация муниципального образования Шварцевское Киреевского района,</w:t>
      </w:r>
      <w:r w:rsidRPr="00D652DA">
        <w:rPr>
          <w:rFonts w:ascii="PT Astra Serif" w:eastAsia="Times New Roman" w:hAnsi="PT Astra Serif"/>
          <w:sz w:val="28"/>
          <w:szCs w:val="28"/>
          <w:lang w:eastAsia="ru-RU"/>
        </w:rPr>
        <w:t xml:space="preserve"> РЕШИЛО:</w:t>
      </w:r>
    </w:p>
    <w:p w:rsidR="00C85E2C" w:rsidRPr="00D652DA" w:rsidRDefault="00C85E2C" w:rsidP="00D652DA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Порядок предоставления муниципальных гарантий муниципального образования Шварцевское Киреевского района, согласно приложению.</w:t>
      </w:r>
    </w:p>
    <w:p w:rsidR="00C85E2C" w:rsidRPr="00D652DA" w:rsidRDefault="00D652DA" w:rsidP="00D652DA">
      <w:pPr>
        <w:pStyle w:val="a4"/>
        <w:spacing w:before="0" w:beforeAutospacing="0" w:after="0" w:afterAutospacing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hAnsi="PT Astra Serif"/>
          <w:sz w:val="28"/>
          <w:szCs w:val="20"/>
        </w:rPr>
        <w:t>Настоящее Решение вступает в силу со дня подписания и подлежит обязательному обнародованию</w:t>
      </w:r>
      <w:r w:rsidR="00C85E2C" w:rsidRPr="00D652DA">
        <w:rPr>
          <w:rFonts w:ascii="PT Astra Serif" w:hAnsi="PT Astra Serif"/>
          <w:sz w:val="28"/>
          <w:szCs w:val="28"/>
        </w:rPr>
        <w:t xml:space="preserve">. </w:t>
      </w:r>
    </w:p>
    <w:p w:rsidR="00C85E2C" w:rsidRPr="00D652DA" w:rsidRDefault="00D652DA" w:rsidP="00D652DA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eastAsia="Times New Roman" w:hAnsi="PT Astra Serif"/>
          <w:sz w:val="28"/>
          <w:szCs w:val="20"/>
          <w:lang w:eastAsia="ru-RU"/>
        </w:rPr>
        <w:t>Контроль за исполнением данного решения оставляю за собой</w:t>
      </w:r>
    </w:p>
    <w:p w:rsidR="00C85E2C" w:rsidRPr="00D652DA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>Глава муниципального образования</w:t>
      </w: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>Шварцевское Киреевского района                                        А. Н. Абрамова</w:t>
      </w:r>
    </w:p>
    <w:p w:rsidR="00D75C62" w:rsidRPr="00D652DA" w:rsidRDefault="00D75C62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C3C8E" w:rsidRPr="00D652DA" w:rsidRDefault="00BC3C8E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01FDE" w:rsidRPr="00D652DA" w:rsidRDefault="00B01FD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E0978" w:rsidRPr="005E0978" w:rsidRDefault="005E0978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 </w:t>
      </w:r>
      <w:r w:rsidR="00B01F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решению собрания депутатов</w:t>
      </w: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Шварцевское Киреевского района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_________ года № ____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Порядок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предоставления муниципальных гарантий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Шварцевское Киреевского района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Настоящий Порядок разработан в соответствии с Бюджетным кодексом Российской Федерации и определяет условия, порядок предоставления муниципальных гарантий муниципального образования Шварцевское Киреевского района (далее – муниципальная гарантия, муниципальное образование) юридическим лицам, зарегистрированным и осуществляющим свою деятельность на территории муниципального образования, для обеспечения исполнения обязательств перед третьими лицами, условия исполнения и прекращения обязательств по предоставленной муниципальной гарантии, а также порядок учета и контроля предоставленных муниципальных гарантий.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Понятия и термины, применяемые в настоящем Порядке</w:t>
      </w:r>
    </w:p>
    <w:p w:rsid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В настоящем Порядке применяются следующие понятия и термины: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Муниципальная гарантия</w:t>
      </w:r>
    </w:p>
    <w:p w:rsidR="005E0978" w:rsidRDefault="00BC3C8E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 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обеспечивается муниципальной гарантией исполнение обязательств принципала по уплате штрафов, комиссий, пеней за просрочку погашения основного долга по договору, заключенному между принципалом и бенефициаром,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за просрочку уплаты процентов, иные санкции за невыполнение (ненадлежащее выполнение) обязательств принципала. 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муниципальной гарантии должны быть указаны положения, установленные пунктом 6 статьи 115 Бюджетного кодекса Российской Федерации. 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3.4.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гарантии не могут быть предоставлены заявителям: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ограниченным уставными документами в осуществлении заявленного вида деятельности;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сообщившим о себе недостоверные сведения;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 имущество которых наложен арест;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деятельность которых была приостановлена в порядке, предусмотренном действующим законодательством Российской Федерации;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не представившим документы в соответствии с перечнем документов, представляемых заявителем в целях получения муниципальной гарантии муниципального образования, согласно приложению к настоящему Порядку (далее – Перечень документов) или представившим их с нарушениями;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случаях, указанных в </w:t>
      </w:r>
      <w:hyperlink r:id="rId7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пункте 16 статьи 241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Муниципальная гарантия предоставляется с правом регрессного требования гаранта к принципалу, за исключением муниципальных гарантий, предоставляемых по обязательствам:</w:t>
      </w:r>
    </w:p>
    <w:p w:rsidR="00BC3C8E" w:rsidRPr="005E0978" w:rsidRDefault="00BC3C8E" w:rsidP="003759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хозяйственного общества, 100 процентов акций (долей) которого принадлежит муниципальному образованию, предоставляющему муниципальную гарантию;</w:t>
      </w:r>
    </w:p>
    <w:p w:rsidR="00BC3C8E" w:rsidRPr="005E0978" w:rsidRDefault="00BC3C8E" w:rsidP="003759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унитарного предприятия, имущество которого находится в собственности муниципального образования, предоставляющего муниципальную гарантию.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требованиям, установленным Бюджетным кодексом, гражданским законодательством Российской Федерации, принципал обязан в срок, установленный муниципальными правовыми актами Администрации муниципального образования Шварцевское Киреевского района,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Условия предоставления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4.1. Муниципальные гарантии предоставляются на безвозмездной основе и предусматривают субсидиарную ответственность гаранта по обеспеченному им обязательству в пределах суммы гарантии.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гарантии предоставляются на цели и в пределах общего объема предоставляемых муниципальных гарантий, указанных в программе муниципальных гарантий, утвержденной решением представительного органа муниципального образования о бюджете на очередной финансовый год (очередной финансовый год и плановый период) (далее – Программа муниципальных гарантий), на основании правового акта Администрации муниципального образования Шварцевское Киреевского района, а также договора о предоставлении муниципальной гарантии.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состояние заявителя является удовлетворительным;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заявителем, третьим лицом до даты выдачи муниципальной гарантии соответствующего требованиям </w:t>
      </w:r>
      <w:hyperlink r:id="rId8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статьи 115.3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и гражданского </w:t>
      </w:r>
      <w:hyperlink r:id="rId9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законодательства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 Федерации обеспечения исполнения обязательств заявителя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у заявителя,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у заявителя, его поручителей (гарантов)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5.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не находится в процессе реорганизации или ликвидации, в отношении заявителя не возбуждено производство по делу о несостоятельности (банкротстве).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4.3. Способом обеспечения исполнения регрессных обязательств по муниципальной гарантии могут быть: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банковские гарантии;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поручительства юридических лиц;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залог имущества стоимостью не менее 150 процентов от суммы (размера) предоставляемой муниципальной гарантии;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государственные (муниципальные) гарантии.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Предметом залога может служить имущество, принадлежащее принципалу на праве собственности в виде недвижимого имущества,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Передаваемое в залог имущество должно иметь высокую степень надежности (ликвидности).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рыночной стоимости (с выводами о ликвидности) имущества, передаваемого в залог, осуществляется в соответствии с законодательством Российской Федерации об оценочной деятельности на основании договора на проведении оценки, заключенного с оценочной компанией.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Передаваемое в залог имущество должно быть застраховано принципалом от всех рисков утраты и повреждения на полную оценочную стоимость и остается в пользовании принципала.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Затраты на проведение оценки, оформление залога, страхования в пользу муниципальных образований несет получатель муниципальной гарантии (принципал).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4.3.1. Предметом залога не может являться имущество, которое: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находится в государственной и муниципальной собственности;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законодательством Российской Федерации не может являться предметом залога;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является предметом залога по другим договорам;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имущественные права (требования), неразрывно связанные с личностью кредитора;</w:t>
      </w:r>
    </w:p>
    <w:p w:rsidR="00BC3C8E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права, уступка которых другому лицу запрещена законом;</w:t>
      </w:r>
    </w:p>
    <w:p w:rsidR="00BC3C8E" w:rsidRPr="006A13A3" w:rsidRDefault="006A13A3" w:rsidP="0068268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13A3">
        <w:rPr>
          <w:rFonts w:ascii="PT Astra Serif" w:eastAsia="Times New Roman" w:hAnsi="PT Astra Serif" w:cs="Times New Roman"/>
          <w:sz w:val="28"/>
          <w:szCs w:val="28"/>
          <w:lang w:eastAsia="ru-RU"/>
        </w:rPr>
        <w:t>залогодатель приобретет в будущем.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 Анализ финансового состояния принципала в целях предоставления муниципальной гарантии осуществляется Администрацией муниципального 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образования Шварцевское Киреевского района (далее - Администрация) в порядке, установленном муниципальным правовым актом Администрации муниципального образования Шварцевское Киреевского района.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4.4.1. Оценка достаточности, надежности и ликвидности банковской гарантии, поручительства, предоставляемого в целях обеспечения регрессных обязательств по муниципальной гарантии, осуществляется Администрацией в порядке, установленном муниципальным правовым актом Администрации.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4.5.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исполнения обязательств принципала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Порядок предоставления муниципальных гарантий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От имени муниципального образования муниципальные гарантии предоставляются Администрацией муниципального образования Шварцевское Киреевского района.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Заявитель, претендующий на получение муниципальной гарантии, представляет в Администрацию письменное заявление. У письменному заявлению должны быть приложены следующие документы: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полное наименование заявителя, его юридический и фактический адреса;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 гарантийного обязательства, срок действия муниципальной гарантии;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обоснование необходимости получения муниципальной гарантии;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цели, на которые предполагается использовать средства, полученные от гарантированного обязательства;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 обеспечения исполнения обязательств по удовлетворению регрессного требования к принципалу;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и адрес бенефициара, которому будет предоставлена полученная муниципальная гарантия.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в течение 10 рабочих дней рассматривает документы заявителя.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="006A13A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выписку из Единого государственного реестра юридических лиц в отношении заявителя (поручителя, гаранта, бенифициара);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свидетельства о постановке на учет в налоговом органе в отношении заявителя (поручителя, гаранта);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185"/>
      <w:bookmarkEnd w:id="1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справки налогового органа об отсутствии просроченной (неурегулированной) задолженности заявителя (поручителя, гаранта) по налогам, сборам, страховым взносам, пеням, штрафам, подлежащим уплате в соответствии с законодательством Российской Федерации по состоянию на 01 января текущего года и последнюю отчетную дату;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186"/>
      <w:bookmarkEnd w:id="2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справку налогового органа о действующих расчетных (текущих) валютных и рублевых счетах заявителя (поручителя), открытых в кредитных организациях на последнюю отчетную дату;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разрешения на осуществление заявителем (поручителем) хозяйственной деятельности (в случаях, когда законодательством Российской Федерации предусмотрено, что указанная деятельность осуществляется на основании разрешения) в отношении заявителя, поручителя;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P188"/>
      <w:bookmarkEnd w:id="3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копию бухгалтерского отчета заявителя (поручителя) за последний отчетный год и на последнюю отчетную дату текущего года по формам бухгалтерской отчетности организаций, утвержденным </w:t>
      </w:r>
      <w:hyperlink r:id="rId10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Министерства финансов Российской Федерации, с отметкой налогового органа о его принятии;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выписку из Единого государственного реестра недвижимости (при передаче в залог недвижимого имущества);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лицензии страховой компании или выписку из реестра лицензий на осуществление деятельности;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справку таможенного органа о том, что передаваемое в залог имущество прошло таможенное оформление (в случае передачи в залог имущества импортного производства).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P189"/>
      <w:bookmarkEnd w:id="4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Заявитель вправе самостоятельно представлять документы, указанные в </w:t>
      </w:r>
      <w:hyperlink r:id="rId11" w:anchor="P185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позициях «г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«д», </w:t>
      </w:r>
      <w:hyperlink r:id="rId12" w:anchor="P186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«</w:t>
        </w:r>
      </w:hyperlink>
      <w:hyperlink r:id="rId13" w:anchor="P188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ж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» настоящего подпункта;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5.4.2. рассматривает представленные заявителем документы на предмет: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комплектности и соответствия Перечню документов;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отсутствия указанных в подпункте 3.4 настоящего Порядка оснований для отказа заявителю в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соответствия цели гарантирования целям, указанным в Программе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несоответствия представленных заявителем документов требованиям комплектности и соответствия Перечню документов, Администрация направляет заявителю уведомление об отказе в дальнейшем рассмотрении документов с указанием недостатков;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5.4.3. готовит заключение о целесообразности (нецелесообразности) предоставления муниципальной гарантии, в котором отражает социально-экономическую значимость, отсутствие (наличие) указанных в подпункте 3.4 настоящего Порядка оснований для отказа заявителю в предоставлении муниципальной гарантии, соответствие (несоответствие) цели гарантирования целям, указанным в Программе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Заключение о результатах оценки имущества должно содержать информацию о степени амортизации и ликвидности передаваемого в залог имущества, а также выводы о возможности либо невозможности принять в залог предлагаемое заявителем имущество.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5.5. Администрация проводит анализ финансового состояния заявителя, оценку достаточности, надежности и ликвидности банковской гарантии, поручительства в течение 7 рабочих дней.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результатам проведенных анализа финансового состояния заявителя, оценки достаточности, надежности и ликвидности банковской гарантии, поручительства Администрация готовит заключение о результатах оценки финансового состояния заявителя, достаточности, надежности и ликвидности банковской гарантии, поручительства (далее - заключения о финансовом состоянии).</w:t>
      </w:r>
    </w:p>
    <w:p w:rsidR="00BC3C8E" w:rsidRPr="005E0978" w:rsidRDefault="00BC3C8E" w:rsidP="00375901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принимает одно из решений:</w:t>
      </w:r>
    </w:p>
    <w:p w:rsidR="00BC3C8E" w:rsidRPr="005E0978" w:rsidRDefault="00BC3C8E" w:rsidP="003759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муниципальной гарантии заявителю;</w:t>
      </w:r>
    </w:p>
    <w:p w:rsidR="00BC3C8E" w:rsidRPr="005E0978" w:rsidRDefault="00BC3C8E" w:rsidP="003759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отказе заявителю в предоставлении муниципальной гарантии.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об отказе в предоставлении муниципальной гарантии принимается в случаях:</w:t>
      </w:r>
    </w:p>
    <w:p w:rsidR="00BC3C8E" w:rsidRPr="005E0978" w:rsidRDefault="00BC3C8E" w:rsidP="003759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наличия оснований для отказа, установленных п. 3.4 настоящего Порядка;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- несоответствия обеспечения исполнения обязательств заявителя по удовлетворению регрессных требований муниципального образования во исполнение обязательств по муниципальной гарантии, представленного заявителем, требованиям, установленным п. 4.3. настоящего Порядка;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- несоблюдения установленных в пункте 4.2 настоящего Порядка условий предоставления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отказе заявителю в предоставлении муниципальной гарантии в адрес заявителя Администрацией направляется уведомление об отказе в предоставлении муниципальной гарантии с указанием причин отказа.</w:t>
      </w:r>
    </w:p>
    <w:p w:rsidR="00BC3C8E" w:rsidRPr="005E0978" w:rsidRDefault="00BC3C8E" w:rsidP="003759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принятия решения о предоставлении муниципальной гарантии: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5.9.1. Администрацией не позднее 15 рабочих дней после поступления документов от заявителя:</w:t>
      </w:r>
    </w:p>
    <w:p w:rsidR="00BC3C8E" w:rsidRPr="005E0978" w:rsidRDefault="00BC3C8E" w:rsidP="0037590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принимается правовой акт, в котором указывается: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принципала;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обязательство, в обеспечение которого выдается гарантия;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обязательств гаранта по муниципальной гарантии;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действия муниципальной гарантии;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BC3C8E" w:rsidRPr="005E0978" w:rsidRDefault="00BC3C8E" w:rsidP="003759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заключается договор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подписывается и выдается муниципальная гарантия.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5.9.2. Администрация (при предоставлении в качестве обеспечения исполнения регрессных требований муниципального образования во исполнение обязательств по муниципальной гарантии залога имущества) не позднее 15 рабочих дней с момента принятия правового акта о предоставлении муниципальной гарантии заключает договор о залоге имущества.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 Условия исполнения и прекращения обязательств по предоставленной муниципальной гарантии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Гарантийный случай наступает при неисполнении принципалом обязательств перед бенефициаром в срок, установленный в договоре между бенефициаром и принципалом.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Условия предъявления бенефициаром требований к гаранту, признание их обоснованности, исполнение и прекращение обязательств по гарантии определяются </w:t>
      </w:r>
      <w:hyperlink r:id="rId14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статьей 115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предоставления гарантии с правом регрессного требования к гаранту, исполнившему обязательство за принципала, переходят все права бенефициара в том объеме, в котором удовлетворены его требования. Гарант вправе требовать от принципала возмещения иных убытков, понесенных им в связи с исполнением обязательства, в порядке, установленном действующим законодательством.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Гарант принимает предусмотренные действующим законодательством меры по взысканию задолженности, в том числе путем обращения взыскания на обеспечение исполнения обязательств принципала.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6.4. Долговые обязательства муниципального образования по муниципальным гарантиям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7. Порядок учета предоставленных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сумма предоставленных муниципальных гарантий включается в состав муниципального долга соответствующего бюджета и вносится в муниципальную долговую книгу муниципального образования Шварцевское Киреевского района как вид долгового обязательства.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исполнении принципалом либо гарантом своих обязательств перед бенефициаром на соответствующую сумму сокращается муниципальный долг.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8.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Контроль предоставленных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Принципалы обязаны ежемесячно, не позднее 01-го числа месяца, следующего за отчетным, представлять в Администрацию информацию об исполнении обязательств по договору (соглашению), которые обеспечиваются муниципальной гарантией (возврат основного долга, уплата процентов и неустойки (штрафов, пени), если таковая была начислена, при этом указываются дата перечисления и сумма перечисленных денежных средств), о размере задолженности по основному долгу, процентам, неустойке (штрафам, пени), если таковая была начислена, по состоянию на 01-е число каждого месяца, о мерах, принимаемых для погашения имеющейся задолженности. Информация представляется за подписями руководителя и главного бухгалтера принципала – юридического лица и заверяется печатью принципала.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осуществляет контроль за состоянием залога. Принципал по состоянию на 01-е число каждого месяца представляет Администрации отчет о состоянии залога. В отчете указывается информация о содержании имущества, фактическом использовании, проведении строительных (ремонтных) работ. Информация представляется за подписями руководителя и главного бухгалтера принципала – юридического лица, либо подписью принципала – индивидуального предпринимателя, и заверяется печатью принципала.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Администрацией два раза в год по состоянию на 01 января и 01 июля.</w:t>
      </w: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Порядку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муниципальных гарантий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 Киреевского района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253"/>
      <w:bookmarkEnd w:id="5"/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 документов,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представляемых заявителем в целях получения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муниципальной гарантии муниципального образования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– юридическое лицо, претендующее на получение муниципальной гарантии муниципального образования, представляет следующие документы: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P261"/>
      <w:bookmarkEnd w:id="6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учредительных документов заявителя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устанавливающие полномочия лиц заявителя на подписание договора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факт назначения на должность уполномоченных лиц заявителя, подписывающих договор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7" w:name="P262"/>
      <w:bookmarkEnd w:id="7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кредитный либо иной договор бенефициара с заявителем, а в случае его отсутствия – согласованный бенефициаром проект договора и иные документы об обеспечении исполнения обязательств заявителя по соответствующему договору (со всеми приложениями, изменениями и дополнениями);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8" w:name="P267"/>
      <w:bookmarkEnd w:id="8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аудиторского заключения о достоверности бухгалтерской отчетности заявителя за последний финансовый год, предшествующий году обращения заявителя (в случае, если юридическое лицо подлежит обязательному аудиту);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9" w:name="P271"/>
      <w:bookmarkEnd w:id="9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выписки из решения совета директоров (наблюдательного совета) или общего собрания участников (акционеров) заявителя об одобрении крупной сделки, заверенные нотариально;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документы, подтверждающие наличие обеспечения исполнения заявителем его возможных будущих обязательств перед гарантом в случае наступления гарантийного случая в порядке регрессного требования, указанные в </w:t>
      </w:r>
      <w:hyperlink r:id="rId15" w:anchor="P274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подпунктах 1.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– </w:t>
      </w:r>
      <w:hyperlink r:id="rId16" w:anchor="P295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1.4 пункта 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перечня, по видам обеспечения обязательств заявителя.</w:t>
      </w:r>
    </w:p>
    <w:p w:rsidR="00BC3C8E" w:rsidRPr="005E0978" w:rsidRDefault="00BC3C8E" w:rsidP="0037590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0" w:name="P274"/>
      <w:bookmarkEnd w:id="10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обеспечения исполнения своих обязательств в форме банковской гарантии заявителем также представляются следующие документы: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договор банковской гарантии (банковская гарантия), нотариально заверенный не ранее чем за 2 недели до дня обращения заявителя;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учредительных документов кредитной организации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лицензии Центрального Банка Российской Федерации на осуществление банковских операций;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информация, заверенная уполномоченными лицами и скрепленная печатью кредитной организации по формам, утвержденным Указанием Центрального Банка Российской Федерации от 08.10.2018 № 4927-У «О перечне, формах и порядке составления и представления форм отчетности кредитных организаций в Центральный банк Российской Федерации»:</w:t>
      </w:r>
    </w:p>
    <w:p w:rsidR="00BC3C8E" w:rsidRPr="005E0978" w:rsidRDefault="00BE446C" w:rsidP="0037590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7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обязательных нормативах, нормативе финансового рычага и нормативе краткосрочной ликвидности (публикуемая форма)» (</w:t>
      </w:r>
      <w:hyperlink r:id="rId18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ОКУД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0409813) за последний отчетный год, предшествующий году обращения заявителя; </w:t>
      </w:r>
    </w:p>
    <w:p w:rsidR="00BC3C8E" w:rsidRPr="005E0978" w:rsidRDefault="00BC3C8E" w:rsidP="0037590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«Информация об обязательных нормативах и о других показателях деятельности кредитной организации» (</w:t>
      </w:r>
      <w:hyperlink r:id="rId19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ОКУД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0409135) на последнюю отчетную дату;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аудиторского заключения о достоверности бухгалтерской отчетности кредитной организации за последний финансовый год, предшествующий году обращения заявителя;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полномочия единоличного исполнительного органа кредитной организации или иного уполномоченного лица на совершение сделок от имени кредитной организации и главного бухгалтера кредитной организации (решение об избрании, приказ о назначении, приказ о вступлении в должность, доверенность), а также нотариально заверенные образцы подписей указанных лиц и оттиска печати кредитной организации;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 собственных средств (капитала) кредитной организации за последний отчетный год, предшествующий году обращения за предоставлением муниципальной гарантии, с приведением диапазона допустимых значений.</w:t>
      </w:r>
    </w:p>
    <w:p w:rsidR="00BC3C8E" w:rsidRPr="005E0978" w:rsidRDefault="00BC3C8E" w:rsidP="00375901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обеспечения исполнения своих обязательств в форме залога имущества заявителем также представляются следующие документы: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передаваемого в залог имущества с указанием его стоимости (при передаче в залог движимого имущества в перечне также указываются его серийный инвентарный и (или) заводской номер, дата постановки на баланс, первоначальная стоимость, текущая балансовая стоимость, начисленный износ, степень износа, дата и сумма проводившихся переоценок, нормативный срок службы);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заявителя на земельный участок (при передаче в залог недвижимого имущества), нотариально заверенные;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документов, удостоверяющих право собственности заявителя на передаваемое в залог имущество и отсутствие по нему всякого рода обременения, нотариально заверенные;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оригинал отчета оценщика об оценке рыночной стоимости передаваемого в залог имущества, составленного не ранее чем за 2 месяца до дня обращения заявителя, акта оценки передаваемого в залог имущества (в отчете об оценке должно быть дано заключение о степени ликвидности объекта оценки);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договора обязательного страхования ответственности оценщика, нотариально заверенная;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договора страхования предмета залога от всех рисков утраты и повреждения на сумму не менее его оценочной стоимости, по которому выгодоприобретателем выступает гарант в лице муниципального образования, нотариально заверенная;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подлинник страхового полиса о страховании предмета залога;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выписки из решения совета директоров (наблюдательного совета) или общего собрания участников (акционеров) заявителя об одобрении крупной сделки в случае, если в соответствии с действующим законодательством передача в залог имущества является крупной сделкой.</w:t>
      </w:r>
    </w:p>
    <w:p w:rsidR="00BC3C8E" w:rsidRPr="005E0978" w:rsidRDefault="00BC3C8E" w:rsidP="00375901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предоставлении поручительства в качестве обеспечения исполнения своих обязательств заявителем представляются документы, указанные в </w:t>
      </w:r>
      <w:hyperlink r:id="rId20" w:anchor="P261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подпунктах 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21" w:anchor="P267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, 6 пункта 1 настоящего перечня, относительно юридического лица - поручителя, а также: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договора поручительства, подписанный поручителем и предусматривающий срок действия поручительства, не менее чем на 6 месяцев превышающий срок действия муниципальной гарантии, указанный в заявлении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образцы подписей уполномоченных лиц поручителя, подписывающих договор поручительства, а также оттиска печати поручителя, нотариально заверенные;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полномочия лиц поручителя, подписывающих договор поручительства;</w:t>
      </w:r>
    </w:p>
    <w:p w:rsidR="00BC3C8E" w:rsidRPr="005E0978" w:rsidRDefault="00BC3C8E" w:rsidP="0037590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1" w:name="P295"/>
      <w:bookmarkEnd w:id="11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представляемые в виде копий в соответствии с настоящим перечнем, должны быть прошиты (каждый отдельно),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лица.</w:t>
      </w:r>
    </w:p>
    <w:p w:rsidR="00BC3C8E" w:rsidRPr="005E0978" w:rsidRDefault="00BC3C8E" w:rsidP="0037590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Расходы, связанные с оформлением документов, необходимых для предоставления муниципальной гарантии, заявитель оплачивает за счет собственных средств.</w:t>
      </w:r>
    </w:p>
    <w:p w:rsidR="00BC3C8E" w:rsidRPr="00BC3C8E" w:rsidRDefault="00BC3C8E" w:rsidP="00375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320C" w:rsidRPr="00375901" w:rsidRDefault="00F2320C" w:rsidP="003759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320C" w:rsidRPr="00375901" w:rsidSect="00375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EE" w:rsidRDefault="00DD47EE" w:rsidP="00224565">
      <w:pPr>
        <w:spacing w:after="0" w:line="240" w:lineRule="auto"/>
      </w:pPr>
      <w:r>
        <w:separator/>
      </w:r>
    </w:p>
  </w:endnote>
  <w:endnote w:type="continuationSeparator" w:id="0">
    <w:p w:rsidR="00DD47EE" w:rsidRDefault="00DD47EE" w:rsidP="0022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EE" w:rsidRDefault="00DD47EE" w:rsidP="00224565">
      <w:pPr>
        <w:spacing w:after="0" w:line="240" w:lineRule="auto"/>
      </w:pPr>
      <w:r>
        <w:separator/>
      </w:r>
    </w:p>
  </w:footnote>
  <w:footnote w:type="continuationSeparator" w:id="0">
    <w:p w:rsidR="00DD47EE" w:rsidRDefault="00DD47EE" w:rsidP="0022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CE8"/>
    <w:multiLevelType w:val="multilevel"/>
    <w:tmpl w:val="A7A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09FF"/>
    <w:multiLevelType w:val="multilevel"/>
    <w:tmpl w:val="72B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112B"/>
    <w:multiLevelType w:val="multilevel"/>
    <w:tmpl w:val="23BC458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34"/>
        </w:tabs>
        <w:ind w:left="1734" w:hanging="2160"/>
      </w:pPr>
      <w:rPr>
        <w:rFonts w:hint="default"/>
      </w:rPr>
    </w:lvl>
  </w:abstractNum>
  <w:abstractNum w:abstractNumId="3">
    <w:nsid w:val="15161081"/>
    <w:multiLevelType w:val="multilevel"/>
    <w:tmpl w:val="CC28B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70EB8"/>
    <w:multiLevelType w:val="multilevel"/>
    <w:tmpl w:val="9118F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30E5E"/>
    <w:multiLevelType w:val="multilevel"/>
    <w:tmpl w:val="AD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E48FE"/>
    <w:multiLevelType w:val="multilevel"/>
    <w:tmpl w:val="EDD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44DFD"/>
    <w:multiLevelType w:val="multilevel"/>
    <w:tmpl w:val="442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44CF5"/>
    <w:multiLevelType w:val="multilevel"/>
    <w:tmpl w:val="50180EE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68508D6"/>
    <w:multiLevelType w:val="multilevel"/>
    <w:tmpl w:val="5BD0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8226B"/>
    <w:multiLevelType w:val="multilevel"/>
    <w:tmpl w:val="195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525E8"/>
    <w:multiLevelType w:val="multilevel"/>
    <w:tmpl w:val="B84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B3FE3"/>
    <w:multiLevelType w:val="multilevel"/>
    <w:tmpl w:val="495CD236"/>
    <w:lvl w:ilvl="0">
      <w:start w:val="4"/>
      <w:numFmt w:val="decimal"/>
      <w:lvlText w:val="%1"/>
      <w:lvlJc w:val="left"/>
      <w:pPr>
        <w:ind w:left="375" w:hanging="375"/>
      </w:pPr>
      <w:rPr>
        <w:rFonts w:ascii="Verdana" w:hAnsi="Verdana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22"/>
      </w:rPr>
    </w:lvl>
  </w:abstractNum>
  <w:abstractNum w:abstractNumId="13">
    <w:nsid w:val="3645313F"/>
    <w:multiLevelType w:val="multilevel"/>
    <w:tmpl w:val="E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802D1"/>
    <w:multiLevelType w:val="multilevel"/>
    <w:tmpl w:val="7792A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41B6E"/>
    <w:multiLevelType w:val="multilevel"/>
    <w:tmpl w:val="1FC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F4344"/>
    <w:multiLevelType w:val="multilevel"/>
    <w:tmpl w:val="B27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7531E"/>
    <w:multiLevelType w:val="multilevel"/>
    <w:tmpl w:val="B69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10E41"/>
    <w:multiLevelType w:val="multilevel"/>
    <w:tmpl w:val="0236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12FD8"/>
    <w:multiLevelType w:val="multilevel"/>
    <w:tmpl w:val="5178D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07728"/>
    <w:multiLevelType w:val="multilevel"/>
    <w:tmpl w:val="FE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D393B"/>
    <w:multiLevelType w:val="multilevel"/>
    <w:tmpl w:val="937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337AC"/>
    <w:multiLevelType w:val="multilevel"/>
    <w:tmpl w:val="DD6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D2E59"/>
    <w:multiLevelType w:val="multilevel"/>
    <w:tmpl w:val="AD9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81A13"/>
    <w:multiLevelType w:val="multilevel"/>
    <w:tmpl w:val="E67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7246F"/>
    <w:multiLevelType w:val="multilevel"/>
    <w:tmpl w:val="C02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14044"/>
    <w:multiLevelType w:val="multilevel"/>
    <w:tmpl w:val="86201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22DBC"/>
    <w:multiLevelType w:val="multilevel"/>
    <w:tmpl w:val="81F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38568C"/>
    <w:multiLevelType w:val="multilevel"/>
    <w:tmpl w:val="F8A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9660A"/>
    <w:multiLevelType w:val="multilevel"/>
    <w:tmpl w:val="BC8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E3042C"/>
    <w:multiLevelType w:val="multilevel"/>
    <w:tmpl w:val="7B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65BBF"/>
    <w:multiLevelType w:val="multilevel"/>
    <w:tmpl w:val="07A0C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610AD3"/>
    <w:multiLevelType w:val="multilevel"/>
    <w:tmpl w:val="DBD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25AD2"/>
    <w:multiLevelType w:val="multilevel"/>
    <w:tmpl w:val="EE4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123A02"/>
    <w:multiLevelType w:val="multilevel"/>
    <w:tmpl w:val="1BD2B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257C1"/>
    <w:multiLevelType w:val="multilevel"/>
    <w:tmpl w:val="878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25"/>
  </w:num>
  <w:num w:numId="5">
    <w:abstractNumId w:val="3"/>
  </w:num>
  <w:num w:numId="6">
    <w:abstractNumId w:val="13"/>
  </w:num>
  <w:num w:numId="7">
    <w:abstractNumId w:val="35"/>
  </w:num>
  <w:num w:numId="8">
    <w:abstractNumId w:val="19"/>
  </w:num>
  <w:num w:numId="9">
    <w:abstractNumId w:val="15"/>
  </w:num>
  <w:num w:numId="10">
    <w:abstractNumId w:val="17"/>
  </w:num>
  <w:num w:numId="11">
    <w:abstractNumId w:val="8"/>
  </w:num>
  <w:num w:numId="12">
    <w:abstractNumId w:val="24"/>
  </w:num>
  <w:num w:numId="13">
    <w:abstractNumId w:val="30"/>
  </w:num>
  <w:num w:numId="14">
    <w:abstractNumId w:val="34"/>
  </w:num>
  <w:num w:numId="15">
    <w:abstractNumId w:val="20"/>
  </w:num>
  <w:num w:numId="16">
    <w:abstractNumId w:val="10"/>
  </w:num>
  <w:num w:numId="17">
    <w:abstractNumId w:val="14"/>
  </w:num>
  <w:num w:numId="18">
    <w:abstractNumId w:val="29"/>
  </w:num>
  <w:num w:numId="19">
    <w:abstractNumId w:val="5"/>
  </w:num>
  <w:num w:numId="20">
    <w:abstractNumId w:val="7"/>
  </w:num>
  <w:num w:numId="21">
    <w:abstractNumId w:val="4"/>
  </w:num>
  <w:num w:numId="22">
    <w:abstractNumId w:val="11"/>
  </w:num>
  <w:num w:numId="23">
    <w:abstractNumId w:val="22"/>
  </w:num>
  <w:num w:numId="24">
    <w:abstractNumId w:val="0"/>
  </w:num>
  <w:num w:numId="25">
    <w:abstractNumId w:val="33"/>
  </w:num>
  <w:num w:numId="26">
    <w:abstractNumId w:val="23"/>
  </w:num>
  <w:num w:numId="27">
    <w:abstractNumId w:val="21"/>
  </w:num>
  <w:num w:numId="28">
    <w:abstractNumId w:val="32"/>
  </w:num>
  <w:num w:numId="29">
    <w:abstractNumId w:val="26"/>
  </w:num>
  <w:num w:numId="30">
    <w:abstractNumId w:val="28"/>
  </w:num>
  <w:num w:numId="31">
    <w:abstractNumId w:val="1"/>
  </w:num>
  <w:num w:numId="32">
    <w:abstractNumId w:val="16"/>
  </w:num>
  <w:num w:numId="33">
    <w:abstractNumId w:val="6"/>
  </w:num>
  <w:num w:numId="34">
    <w:abstractNumId w:val="9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E"/>
    <w:rsid w:val="00123D09"/>
    <w:rsid w:val="00224565"/>
    <w:rsid w:val="0028065B"/>
    <w:rsid w:val="00375901"/>
    <w:rsid w:val="00376BF7"/>
    <w:rsid w:val="005576A3"/>
    <w:rsid w:val="005E0978"/>
    <w:rsid w:val="006A13A3"/>
    <w:rsid w:val="00736A08"/>
    <w:rsid w:val="008B6E0E"/>
    <w:rsid w:val="00B01FDE"/>
    <w:rsid w:val="00BC0D92"/>
    <w:rsid w:val="00BC3C8E"/>
    <w:rsid w:val="00BE446C"/>
    <w:rsid w:val="00C85E2C"/>
    <w:rsid w:val="00D652DA"/>
    <w:rsid w:val="00D75C62"/>
    <w:rsid w:val="00DD47EE"/>
    <w:rsid w:val="00E67793"/>
    <w:rsid w:val="00F143C2"/>
    <w:rsid w:val="00F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39D9-B9C0-4DCC-AE84-20A05E4C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C8E"/>
    <w:rPr>
      <w:b/>
      <w:bCs/>
    </w:rPr>
  </w:style>
  <w:style w:type="paragraph" w:styleId="a4">
    <w:name w:val="Normal (Web)"/>
    <w:basedOn w:val="a"/>
    <w:uiPriority w:val="99"/>
    <w:semiHidden/>
    <w:unhideWhenUsed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3C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C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565"/>
  </w:style>
  <w:style w:type="paragraph" w:styleId="a9">
    <w:name w:val="footer"/>
    <w:basedOn w:val="a"/>
    <w:link w:val="aa"/>
    <w:uiPriority w:val="99"/>
    <w:unhideWhenUsed/>
    <w:rsid w:val="0022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E7E68CBE372AE60AB0FB06981714F03954F791BBAE3B2EC724CC1CBD48AE58C6D177A48E9B5ACCD3262BFF7828B1EBEC778E584FwBiAM" TargetMode="External"/><Relationship Id="rId13" Type="http://schemas.openxmlformats.org/officeDocument/2006/relationships/hyperlink" Target="https://zapolyarny-adm.yanao.ru/documents/1725.html" TargetMode="External"/><Relationship Id="rId18" Type="http://schemas.openxmlformats.org/officeDocument/2006/relationships/hyperlink" Target="consultantplus://offline/ref=9789997698742AE6980F9D30067340B9691197686FA8276125A1BBD23CEESB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polyarny-adm.yanao.ru/documents/1725.html" TargetMode="External"/><Relationship Id="rId7" Type="http://schemas.openxmlformats.org/officeDocument/2006/relationships/hyperlink" Target="consultantplus://offline/ref=3BB4DE16EC8DC6FDBC68CEC4B66192355AFB97BAB835962FE5264870B5AE2C69CCF40BC941736046E33EFC6132D903AAFF898546D387585CE3qFF" TargetMode="External"/><Relationship Id="rId12" Type="http://schemas.openxmlformats.org/officeDocument/2006/relationships/hyperlink" Target="https://zapolyarny-adm.yanao.ru/documents/1725.html" TargetMode="External"/><Relationship Id="rId17" Type="http://schemas.openxmlformats.org/officeDocument/2006/relationships/hyperlink" Target="consultantplus://offline/ref=9789997698742AE6980F9D30067340B9691190606FA2276125A1BBD23CEB11E0610A2C70DFDAE1S4M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olyarny-adm.yanao.ru/documents/1725.html" TargetMode="External"/><Relationship Id="rId20" Type="http://schemas.openxmlformats.org/officeDocument/2006/relationships/hyperlink" Target="https://zapolyarny-adm.yanao.ru/documents/17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polyarny-adm.yanao.ru/documents/172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polyarny-adm.yanao.ru/documents/172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789997698742AE6980F9D30067340B9691F9B6368A1276125A1BBD23CEESBM" TargetMode="External"/><Relationship Id="rId19" Type="http://schemas.openxmlformats.org/officeDocument/2006/relationships/hyperlink" Target="consultantplus://offline/ref=9789997698742AE6980F9D30067340B9691197686FA8276125A1BBD23CEES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3E7E68CBE372AE60AB0FB06981714F03953FA91B0AE3B2EC724CC1CBD48AE58C6D173A18C9A509989362FB62F2CADE3F3688D464CB317wBiCM" TargetMode="External"/><Relationship Id="rId14" Type="http://schemas.openxmlformats.org/officeDocument/2006/relationships/hyperlink" Target="consultantplus://offline/ref=DD9F53DC92C07BF14F8C49701722E8E8066957A18A8EFA98E551D47296C945069D069C251A6455D7482D1B5867FFF87044CAFC309208G903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shv-u-00001</dc:creator>
  <cp:keywords/>
  <dc:description/>
  <cp:lastModifiedBy>Виктор Александрович Лебедев</cp:lastModifiedBy>
  <cp:revision>2</cp:revision>
  <dcterms:created xsi:type="dcterms:W3CDTF">2025-06-02T08:26:00Z</dcterms:created>
  <dcterms:modified xsi:type="dcterms:W3CDTF">2025-06-02T08:26:00Z</dcterms:modified>
</cp:coreProperties>
</file>