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799200" cy="799200"/>
            <wp:effectExtent l="19050" t="0" r="90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от </w:t>
      </w:r>
      <w:r w:rsidR="005676CF">
        <w:rPr>
          <w:rFonts w:ascii="PT Astra Serif" w:hAnsi="PT Astra Serif"/>
          <w:b/>
          <w:sz w:val="28"/>
          <w:szCs w:val="28"/>
          <w:lang w:val="en-US"/>
        </w:rPr>
        <w:t>03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>
        <w:rPr>
          <w:rFonts w:ascii="PT Astra Serif" w:hAnsi="PT Astra Serif"/>
          <w:b/>
          <w:sz w:val="28"/>
          <w:szCs w:val="28"/>
          <w:lang w:val="en-US"/>
        </w:rPr>
        <w:t>02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>
        <w:rPr>
          <w:rFonts w:ascii="PT Astra Serif" w:hAnsi="PT Astra Serif"/>
          <w:b/>
          <w:sz w:val="28"/>
          <w:szCs w:val="28"/>
          <w:lang w:val="en-US"/>
        </w:rPr>
        <w:t>2022</w:t>
      </w:r>
      <w:r w:rsidRPr="005565C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  </w:t>
      </w:r>
      <w:r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3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Киреевский район, Положением  «Об организации и проведении публичных слушаний в муниципальном образовании 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представителей муниципального образования Киреевский район                  «О внесении изменений и дополнений в Устав муниципального образования Киреевский район»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  <w:r w:rsidR="00B776A2">
        <w:rPr>
          <w:rFonts w:ascii="PT Astra Serif" w:hAnsi="PT Astra Serif"/>
          <w:sz w:val="28"/>
          <w:szCs w:val="28"/>
        </w:rPr>
        <w:t>28 февраля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B776A2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 xml:space="preserve"> года в 11:00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район, 3 этаж, зал заседаний.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4.1. Предложения о внесении изменений и дополнений в проект решения Собрания представителей муниципального образования Киреевский район                «О внесении изменений и дополнений в Устав муниципального образования Киреевский район» направляются в срок до </w:t>
      </w:r>
      <w:r w:rsidR="00B776A2">
        <w:rPr>
          <w:rFonts w:ascii="PT Astra Serif" w:hAnsi="PT Astra Serif"/>
          <w:sz w:val="28"/>
          <w:szCs w:val="28"/>
        </w:rPr>
        <w:t>25</w:t>
      </w:r>
      <w:r w:rsidRPr="005565C6">
        <w:rPr>
          <w:rFonts w:ascii="PT Astra Serif" w:hAnsi="PT Astra Serif"/>
          <w:sz w:val="28"/>
          <w:szCs w:val="28"/>
        </w:rPr>
        <w:t xml:space="preserve"> </w:t>
      </w:r>
      <w:r w:rsidR="00B776A2">
        <w:rPr>
          <w:rFonts w:ascii="PT Astra Serif" w:hAnsi="PT Astra Serif"/>
          <w:sz w:val="28"/>
          <w:szCs w:val="28"/>
        </w:rPr>
        <w:t>февраля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B776A2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40, тел.: 8(48754)6-15-83,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9" w:history="1">
        <w:r w:rsidRPr="005565C6">
          <w:rPr>
            <w:rFonts w:ascii="PT Astra Serif" w:hAnsi="PT Astra Serif"/>
            <w:sz w:val="28"/>
            <w:lang w:val="en-US"/>
          </w:rPr>
          <w:t>http</w:t>
        </w:r>
        <w:r w:rsidRPr="005565C6">
          <w:rPr>
            <w:rFonts w:ascii="PT Astra Serif" w:hAnsi="PT Astra Serif"/>
            <w:sz w:val="28"/>
          </w:rPr>
          <w:t>://</w:t>
        </w:r>
        <w:r w:rsidRPr="005565C6">
          <w:rPr>
            <w:rFonts w:ascii="PT Astra Serif" w:hAnsi="PT Astra Serif"/>
            <w:sz w:val="28"/>
            <w:lang w:val="en-US"/>
          </w:rPr>
          <w:t>www</w:t>
        </w:r>
        <w:r w:rsidRPr="005565C6">
          <w:rPr>
            <w:rFonts w:ascii="PT Astra Serif" w:hAnsi="PT Astra Serif"/>
            <w:sz w:val="28"/>
          </w:rPr>
          <w:t>.kireevsk.tularegion.ru</w:t>
        </w:r>
      </w:hyperlink>
      <w:r w:rsidRPr="005565C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676CF">
        <w:rPr>
          <w:rFonts w:ascii="PT Astra Serif" w:hAnsi="PT Astra Serif"/>
          <w:b/>
          <w:sz w:val="28"/>
          <w:szCs w:val="28"/>
        </w:rPr>
        <w:t xml:space="preserve">  </w:t>
      </w:r>
      <w:r w:rsidRPr="00650D3C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  Собрания  представителей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Сафонов 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A30BA7" w:rsidRDefault="005676CF" w:rsidP="005676CF">
      <w:pPr>
        <w:ind w:firstLine="567"/>
        <w:jc w:val="both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5565C6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5676CF">
        <w:rPr>
          <w:rFonts w:ascii="PT Astra Serif" w:hAnsi="PT Astra Serif"/>
          <w:sz w:val="28"/>
          <w:szCs w:val="28"/>
        </w:rPr>
        <w:t xml:space="preserve">03.02.2022 </w:t>
      </w:r>
      <w:r w:rsidRPr="005565C6">
        <w:rPr>
          <w:rFonts w:ascii="PT Astra Serif" w:hAnsi="PT Astra Serif"/>
          <w:sz w:val="28"/>
          <w:szCs w:val="28"/>
        </w:rPr>
        <w:t xml:space="preserve"> № </w:t>
      </w:r>
      <w:r w:rsidR="005676CF">
        <w:rPr>
          <w:rFonts w:ascii="PT Astra Serif" w:hAnsi="PT Astra Serif"/>
          <w:sz w:val="28"/>
          <w:szCs w:val="28"/>
        </w:rPr>
        <w:t>3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ПРОЕКТ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2628265</wp:posOffset>
            </wp:positionH>
            <wp:positionV relativeFrom="margin">
              <wp:posOffset>1461770</wp:posOffset>
            </wp:positionV>
            <wp:extent cx="934720" cy="914400"/>
            <wp:effectExtent l="19050" t="0" r="0" b="0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6-ой СОЗЫВ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>Р Е Ш Е Н И Е</w:t>
      </w: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 xml:space="preserve">от _________                                                                                       № ______   </w:t>
      </w:r>
    </w:p>
    <w:p w:rsidR="006A6CA2" w:rsidRPr="00B4797D" w:rsidRDefault="006A6CA2" w:rsidP="006A6CA2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2B482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</w:t>
      </w:r>
    </w:p>
    <w:p w:rsidR="002B4824" w:rsidRPr="005565C6" w:rsidRDefault="002B4824" w:rsidP="002B482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в Устав муниципального образования Киреевский район</w:t>
      </w:r>
    </w:p>
    <w:p w:rsidR="002B4824" w:rsidRPr="005565C6" w:rsidRDefault="002B4824" w:rsidP="002B482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В целях приведения Устава муниципального образования Киреевский район в соответствие с требованиями Федерального закона от 06.10.2003     № 131-ФЗ «Об общих принципах организации местного самоуправления в Российской Федерации», на основании статей 64, 65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1.1. В части 1 статьи 8: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а) дополнить пунктом 8.1 следующего содержания: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«8.1) обеспечение первичных мер пожарной безопасности в границах муниципального района за границами городских и сельских населенных пунктов;»;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б) в пункте 34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1.2. В части 1 статьи 9: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а) в пункте 17 знак «.» заменить знаком «;»;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б) дополнить пунктом 18 следующего содержания: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«20) создание муниципальной пожарной охраны.».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 xml:space="preserve">1.3. </w:t>
      </w:r>
      <w:r>
        <w:rPr>
          <w:rFonts w:ascii="PT Astra Serif" w:hAnsi="PT Astra Serif" w:cs="Arial"/>
          <w:sz w:val="28"/>
          <w:szCs w:val="28"/>
        </w:rPr>
        <w:t>С</w:t>
      </w:r>
      <w:r w:rsidRPr="00813CB7">
        <w:rPr>
          <w:rFonts w:ascii="PT Astra Serif" w:hAnsi="PT Astra Serif" w:cs="Arial"/>
          <w:sz w:val="28"/>
          <w:szCs w:val="28"/>
        </w:rPr>
        <w:t>тать</w:t>
      </w:r>
      <w:r>
        <w:rPr>
          <w:rFonts w:ascii="PT Astra Serif" w:hAnsi="PT Astra Serif" w:cs="Arial"/>
          <w:sz w:val="28"/>
          <w:szCs w:val="28"/>
        </w:rPr>
        <w:t>ю</w:t>
      </w:r>
      <w:r w:rsidRPr="00813CB7">
        <w:rPr>
          <w:rFonts w:ascii="PT Astra Serif" w:hAnsi="PT Astra Serif" w:cs="Arial"/>
          <w:sz w:val="28"/>
          <w:szCs w:val="28"/>
        </w:rPr>
        <w:t xml:space="preserve"> 3</w:t>
      </w:r>
      <w:r>
        <w:rPr>
          <w:rFonts w:ascii="PT Astra Serif" w:hAnsi="PT Astra Serif" w:cs="Arial"/>
          <w:sz w:val="28"/>
          <w:szCs w:val="28"/>
        </w:rPr>
        <w:t>4</w:t>
      </w:r>
      <w:r w:rsidRPr="00813CB7">
        <w:rPr>
          <w:rFonts w:ascii="PT Astra Serif" w:hAnsi="PT Astra Serif" w:cs="Arial"/>
          <w:sz w:val="28"/>
          <w:szCs w:val="28"/>
        </w:rPr>
        <w:t xml:space="preserve"> дополнить </w:t>
      </w:r>
      <w:r>
        <w:rPr>
          <w:rFonts w:ascii="PT Astra Serif" w:hAnsi="PT Astra Serif" w:cs="Arial"/>
          <w:sz w:val="28"/>
          <w:szCs w:val="28"/>
        </w:rPr>
        <w:t>частью 2.1.</w:t>
      </w:r>
      <w:r w:rsidRPr="00813CB7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3B1F3D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Pr="004111F0">
        <w:rPr>
          <w:rFonts w:ascii="PT Astra Serif" w:hAnsi="PT Astra Serif" w:cs="Arial"/>
          <w:sz w:val="28"/>
          <w:szCs w:val="28"/>
        </w:rPr>
        <w:t xml:space="preserve">2.1. </w:t>
      </w:r>
      <w:r>
        <w:rPr>
          <w:rFonts w:ascii="PT Astra Serif" w:hAnsi="PT Astra Serif" w:cs="Arial"/>
          <w:sz w:val="28"/>
          <w:szCs w:val="28"/>
        </w:rPr>
        <w:t>Вид м</w:t>
      </w:r>
      <w:r w:rsidRPr="004111F0">
        <w:rPr>
          <w:rFonts w:ascii="PT Astra Serif" w:hAnsi="PT Astra Serif" w:cs="Arial"/>
          <w:sz w:val="28"/>
          <w:szCs w:val="28"/>
        </w:rPr>
        <w:t>униципальн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4111F0">
        <w:rPr>
          <w:rFonts w:ascii="PT Astra Serif" w:hAnsi="PT Astra Serif" w:cs="Arial"/>
          <w:sz w:val="28"/>
          <w:szCs w:val="28"/>
        </w:rPr>
        <w:t xml:space="preserve"> контрол</w:t>
      </w:r>
      <w:r>
        <w:rPr>
          <w:rFonts w:ascii="PT Astra Serif" w:hAnsi="PT Astra Serif" w:cs="Arial"/>
          <w:sz w:val="28"/>
          <w:szCs w:val="28"/>
        </w:rPr>
        <w:t>я</w:t>
      </w:r>
      <w:r w:rsidRPr="004111F0">
        <w:rPr>
          <w:rFonts w:ascii="PT Astra Serif" w:hAnsi="PT Astra Serif" w:cs="Arial"/>
          <w:sz w:val="28"/>
          <w:szCs w:val="28"/>
        </w:rPr>
        <w:t xml:space="preserve"> подлежит осуществлению при наличии </w:t>
      </w:r>
      <w:r>
        <w:rPr>
          <w:rFonts w:ascii="PT Astra Serif" w:hAnsi="PT Astra Serif" w:cs="Arial"/>
          <w:sz w:val="28"/>
          <w:szCs w:val="28"/>
        </w:rPr>
        <w:t xml:space="preserve">в границах </w:t>
      </w:r>
      <w:r w:rsidRPr="004111F0">
        <w:rPr>
          <w:rFonts w:ascii="PT Astra Serif" w:hAnsi="PT Astra Serif" w:cs="Arial"/>
          <w:sz w:val="28"/>
          <w:szCs w:val="28"/>
        </w:rPr>
        <w:t xml:space="preserve"> муниципального образования Киреевский район </w:t>
      </w:r>
      <w:r>
        <w:rPr>
          <w:rFonts w:ascii="PT Astra Serif" w:hAnsi="PT Astra Serif" w:cs="Arial"/>
          <w:sz w:val="28"/>
          <w:szCs w:val="28"/>
        </w:rPr>
        <w:t>объектов соответствующего вида контроля</w:t>
      </w:r>
      <w:r w:rsidRPr="004111F0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».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1.4. </w:t>
      </w:r>
      <w:r w:rsidRPr="00813CB7">
        <w:rPr>
          <w:rFonts w:ascii="PT Astra Serif" w:hAnsi="PT Astra Serif" w:cs="Arial"/>
          <w:sz w:val="28"/>
          <w:szCs w:val="28"/>
        </w:rPr>
        <w:t>Часть 1 статьи 35 дополнить абзацем 4 следующего содержания: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«Контрольно-счетная палата муниципального образования Киреевский район в соответствии с ч. 8 ст. 3 Федерального закона от 7 февраля 2011 года   № 6-ФЗ «Об общих принципах организации и деятельности контрольно-счетных органов субъектов Российской Федерации и муниципальных образований» обладает правами юридического лица, является муниципальным казенным учреждением. Полное наименование юридического лица - Контрольно-счетная палата муниципального образования Киреевский  район. Сокращенное наименование юридического лица - Контрольно-счетная палата муниципального образования Киреевский  район.».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sz w:val="28"/>
          <w:szCs w:val="28"/>
        </w:rPr>
        <w:t>5</w:t>
      </w:r>
      <w:r w:rsidRPr="00813CB7">
        <w:rPr>
          <w:rFonts w:ascii="PT Astra Serif" w:hAnsi="PT Astra Serif" w:cs="Arial"/>
          <w:sz w:val="28"/>
          <w:szCs w:val="28"/>
        </w:rPr>
        <w:t>. Часть  6 статьи 51 изложить в следующей редакции: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Г</w:t>
      </w:r>
      <w:r w:rsidRPr="00813CB7">
        <w:rPr>
          <w:rFonts w:ascii="PT Astra Serif" w:hAnsi="PT Astra Serif" w:cs="Arial"/>
          <w:sz w:val="28"/>
          <w:szCs w:val="28"/>
        </w:rPr>
        <w:t>лава муниципального обр</w:t>
      </w:r>
      <w:r>
        <w:rPr>
          <w:rFonts w:ascii="PT Astra Serif" w:hAnsi="PT Astra Serif" w:cs="Arial"/>
          <w:sz w:val="28"/>
          <w:szCs w:val="28"/>
        </w:rPr>
        <w:t xml:space="preserve">азования Киреевский район не может </w:t>
      </w:r>
      <w:r w:rsidRPr="00813CB7">
        <w:rPr>
          <w:rFonts w:ascii="PT Astra Serif" w:hAnsi="PT Astra Serif" w:cs="Arial"/>
          <w:sz w:val="28"/>
          <w:szCs w:val="28"/>
        </w:rPr>
        <w:t>быть депутат</w:t>
      </w:r>
      <w:r>
        <w:rPr>
          <w:rFonts w:ascii="PT Astra Serif" w:hAnsi="PT Astra Serif" w:cs="Arial"/>
          <w:sz w:val="28"/>
          <w:szCs w:val="28"/>
        </w:rPr>
        <w:t xml:space="preserve">ом </w:t>
      </w:r>
      <w:r w:rsidRPr="00813CB7">
        <w:rPr>
          <w:rFonts w:ascii="PT Astra Serif" w:hAnsi="PT Astra Serif" w:cs="Arial"/>
          <w:sz w:val="28"/>
          <w:szCs w:val="28"/>
        </w:rPr>
        <w:t>Государственной Думы Федерального Собрания Российской Федерации, сенатор</w:t>
      </w:r>
      <w:r>
        <w:rPr>
          <w:rFonts w:ascii="PT Astra Serif" w:hAnsi="PT Astra Serif" w:cs="Arial"/>
          <w:sz w:val="28"/>
          <w:szCs w:val="28"/>
        </w:rPr>
        <w:t>ом</w:t>
      </w:r>
      <w:r w:rsidRPr="00813CB7">
        <w:rPr>
          <w:rFonts w:ascii="PT Astra Serif" w:hAnsi="PT Astra Serif" w:cs="Arial"/>
          <w:sz w:val="28"/>
          <w:szCs w:val="28"/>
        </w:rPr>
        <w:t xml:space="preserve"> Российской Федерации, депутат</w:t>
      </w:r>
      <w:r>
        <w:rPr>
          <w:rFonts w:ascii="PT Astra Serif" w:hAnsi="PT Astra Serif" w:cs="Arial"/>
          <w:sz w:val="28"/>
          <w:szCs w:val="28"/>
        </w:rPr>
        <w:t>ом</w:t>
      </w:r>
      <w:r w:rsidRPr="00813CB7">
        <w:rPr>
          <w:rFonts w:ascii="PT Astra Serif" w:hAnsi="PT Astra Serif" w:cs="Arial"/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законами.». 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3B1F3D" w:rsidRPr="00813CB7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3. Настоящее решение обнародовать в местах для обнародования нормативных правовых актов муниципального образования Киреевский район после его государственной регистрации в Управлении Министерства юстиции Российской Федерации по Тульской области.</w:t>
      </w:r>
    </w:p>
    <w:p w:rsidR="003B1F3D" w:rsidRDefault="003B1F3D" w:rsidP="003B1F3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813CB7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5676CF" w:rsidRPr="003B1F3D" w:rsidRDefault="005676CF" w:rsidP="002B4824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5676CF" w:rsidRPr="003B1F3D" w:rsidRDefault="005676CF" w:rsidP="002B4824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5676CF" w:rsidRPr="003B1F3D" w:rsidRDefault="005676CF" w:rsidP="002B4824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676CF">
        <w:rPr>
          <w:rFonts w:ascii="PT Astra Serif" w:hAnsi="PT Astra Serif"/>
          <w:b/>
          <w:sz w:val="28"/>
          <w:szCs w:val="28"/>
        </w:rPr>
        <w:t xml:space="preserve">  </w:t>
      </w:r>
      <w:r w:rsidRPr="00650D3C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  Собрания  представителей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50D3C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Сафонов </w:t>
      </w:r>
    </w:p>
    <w:p w:rsidR="005676CF" w:rsidRPr="00650D3C" w:rsidRDefault="005676CF" w:rsidP="005676C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A30BA7" w:rsidRDefault="005676CF" w:rsidP="005676CF">
      <w:pPr>
        <w:ind w:firstLine="567"/>
        <w:jc w:val="both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5676CF">
        <w:rPr>
          <w:rFonts w:ascii="PT Astra Serif" w:hAnsi="PT Astra Serif"/>
          <w:sz w:val="28"/>
          <w:szCs w:val="28"/>
        </w:rPr>
        <w:t>03.02.2022 № 3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Лепёхин Андрей Иванович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глава муниципального образования Киреевский район;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Нефедова Елена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председатель постоянной комиссии Собрания представителей муниципального образования Киреевский район по организационной работе, регламенту и депутатской этике; депутат Собрания представителей муниципального образования Киреевский район;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Хлопов Владимир Михайлович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председателя комиссии по вопросам собственности, землепользования и развитию предпринимательства, депутат Собрания представителей муниципального образования Киреевский район;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="005676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председатель комитета  по взаимодействию с органами местного самоуправления и организационной работе администрации муниципального образования Киреевский район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00" w:rsidRDefault="00272900" w:rsidP="009163E1">
      <w:r>
        <w:separator/>
      </w:r>
    </w:p>
  </w:endnote>
  <w:endnote w:type="continuationSeparator" w:id="1">
    <w:p w:rsidR="00272900" w:rsidRDefault="00272900" w:rsidP="0091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00" w:rsidRDefault="00272900" w:rsidP="009163E1">
      <w:r>
        <w:separator/>
      </w:r>
    </w:p>
  </w:footnote>
  <w:footnote w:type="continuationSeparator" w:id="1">
    <w:p w:rsidR="00272900" w:rsidRDefault="00272900" w:rsidP="0091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67C"/>
    <w:rsid w:val="00010D0D"/>
    <w:rsid w:val="00015217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33FA3"/>
    <w:rsid w:val="00336313"/>
    <w:rsid w:val="00337261"/>
    <w:rsid w:val="00355060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12D1C"/>
    <w:rsid w:val="00D13185"/>
    <w:rsid w:val="00D13BE5"/>
    <w:rsid w:val="00D425BB"/>
    <w:rsid w:val="00D765D7"/>
    <w:rsid w:val="00D9676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7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4</cp:revision>
  <cp:lastPrinted>2022-02-03T09:01:00Z</cp:lastPrinted>
  <dcterms:created xsi:type="dcterms:W3CDTF">2022-02-03T09:08:00Z</dcterms:created>
  <dcterms:modified xsi:type="dcterms:W3CDTF">2022-02-03T09:57:00Z</dcterms:modified>
</cp:coreProperties>
</file>