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</w:t>
      </w:r>
      <w:bookmarkStart w:id="0" w:name="_GoBack"/>
      <w:r>
        <w:rPr>
          <w:sz w:val="26"/>
          <w:szCs w:val="26"/>
          <w:lang w:eastAsia="ru-RU"/>
        </w:rPr>
        <w:t xml:space="preserve">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290537">
        <w:rPr>
          <w:rFonts w:eastAsia="Calibri"/>
          <w:bCs/>
          <w:sz w:val="26"/>
          <w:szCs w:val="26"/>
          <w:lang w:eastAsia="ru-RU"/>
        </w:rPr>
        <w:t>дачного хозяйства</w:t>
      </w:r>
    </w:p>
    <w:bookmarkEnd w:id="0"/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290537">
        <w:rPr>
          <w:rFonts w:eastAsia="Calibri"/>
          <w:bCs/>
          <w:sz w:val="26"/>
          <w:szCs w:val="26"/>
          <w:lang w:eastAsia="ru-RU"/>
        </w:rPr>
        <w:t>дачного хозяйства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тридцати дней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2A4DCE" w:rsidRPr="002A4DCE" w:rsidRDefault="002A4DCE" w:rsidP="002A4DC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C166E3">
        <w:rPr>
          <w:sz w:val="26"/>
          <w:szCs w:val="26"/>
          <w:lang w:eastAsia="ru-RU"/>
        </w:rPr>
        <w:t>прини</w:t>
      </w:r>
      <w:r w:rsidR="00290537">
        <w:rPr>
          <w:sz w:val="26"/>
          <w:szCs w:val="26"/>
          <w:lang w:eastAsia="ru-RU"/>
        </w:rPr>
        <w:t>маются в рабочие дни по «20</w:t>
      </w:r>
      <w:r w:rsidRPr="002A4DCE">
        <w:rPr>
          <w:sz w:val="26"/>
          <w:szCs w:val="26"/>
          <w:lang w:eastAsia="ru-RU"/>
        </w:rPr>
        <w:t xml:space="preserve">» </w:t>
      </w:r>
      <w:r w:rsidR="00290537">
        <w:rPr>
          <w:sz w:val="26"/>
          <w:szCs w:val="26"/>
          <w:lang w:eastAsia="ru-RU"/>
        </w:rPr>
        <w:t>июня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22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 xml:space="preserve">с/о </w:t>
      </w:r>
      <w:proofErr w:type="spellStart"/>
      <w:proofErr w:type="gram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ровская</w:t>
      </w:r>
      <w:proofErr w:type="spellEnd"/>
      <w:r w:rsidR="00855517">
        <w:rPr>
          <w:sz w:val="26"/>
          <w:szCs w:val="26"/>
          <w:lang w:eastAsia="ru-RU"/>
        </w:rPr>
        <w:t xml:space="preserve">, </w:t>
      </w:r>
      <w:r w:rsidR="006437F9">
        <w:rPr>
          <w:sz w:val="26"/>
          <w:szCs w:val="26"/>
          <w:lang w:eastAsia="ru-RU"/>
        </w:rPr>
        <w:t xml:space="preserve">  </w:t>
      </w:r>
      <w:proofErr w:type="gramEnd"/>
      <w:r w:rsidR="006437F9">
        <w:rPr>
          <w:sz w:val="26"/>
          <w:szCs w:val="26"/>
          <w:lang w:eastAsia="ru-RU"/>
        </w:rPr>
        <w:t xml:space="preserve">           </w:t>
      </w:r>
      <w:r w:rsidR="00290537">
        <w:rPr>
          <w:sz w:val="26"/>
          <w:szCs w:val="26"/>
          <w:lang w:eastAsia="ru-RU"/>
        </w:rPr>
        <w:t>д.</w:t>
      </w:r>
      <w:r w:rsidR="006437F9">
        <w:rPr>
          <w:sz w:val="26"/>
          <w:szCs w:val="26"/>
          <w:lang w:eastAsia="ru-RU"/>
        </w:rPr>
        <w:t xml:space="preserve"> </w:t>
      </w:r>
      <w:r w:rsidR="00290537">
        <w:rPr>
          <w:sz w:val="26"/>
          <w:szCs w:val="26"/>
          <w:lang w:eastAsia="ru-RU"/>
        </w:rPr>
        <w:t>Мостовая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290537">
        <w:rPr>
          <w:sz w:val="26"/>
          <w:szCs w:val="26"/>
          <w:lang w:eastAsia="ru-RU"/>
        </w:rPr>
        <w:t>204</w:t>
      </w:r>
      <w:r w:rsidRPr="002A4DCE">
        <w:rPr>
          <w:sz w:val="26"/>
          <w:szCs w:val="26"/>
          <w:lang w:eastAsia="ru-RU"/>
        </w:rPr>
        <w:t>:</w:t>
      </w:r>
      <w:r w:rsidR="00290537">
        <w:rPr>
          <w:sz w:val="26"/>
          <w:szCs w:val="26"/>
          <w:lang w:eastAsia="ru-RU"/>
        </w:rPr>
        <w:t>211, площадью 1500</w:t>
      </w:r>
      <w:r w:rsidR="006437F9">
        <w:rPr>
          <w:sz w:val="26"/>
          <w:szCs w:val="26"/>
          <w:lang w:eastAsia="ru-RU"/>
        </w:rPr>
        <w:t xml:space="preserve"> м</w:t>
      </w:r>
      <w:r w:rsidR="00290537">
        <w:rPr>
          <w:sz w:val="26"/>
          <w:szCs w:val="26"/>
          <w:lang w:eastAsia="ru-RU"/>
        </w:rPr>
        <w:t>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5511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6437F9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90537"/>
    <w:rsid w:val="002A4DCE"/>
    <w:rsid w:val="004C6D2D"/>
    <w:rsid w:val="00587244"/>
    <w:rsid w:val="006437F9"/>
    <w:rsid w:val="00855517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45EFA-4090-42B3-9496-F0A9B2D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2025-05-12T07:39:00Z</dcterms:created>
  <dcterms:modified xsi:type="dcterms:W3CDTF">2025-05-12T07:39:00Z</dcterms:modified>
</cp:coreProperties>
</file>