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FE7E8A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Pr="00FE7E8A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 xml:space="preserve">Титова ул., д.4, </w:t>
      </w:r>
      <w:proofErr w:type="spellStart"/>
      <w:r w:rsidRPr="00FE7E8A">
        <w:rPr>
          <w:rFonts w:ascii="PT Astra Serif" w:hAnsi="PT Astra Serif"/>
          <w:sz w:val="28"/>
          <w:szCs w:val="28"/>
        </w:rPr>
        <w:t>г.Киреевск</w:t>
      </w:r>
      <w:proofErr w:type="spellEnd"/>
      <w:r w:rsidRPr="00FE7E8A">
        <w:rPr>
          <w:rFonts w:ascii="PT Astra Serif" w:hAnsi="PT Astra Serif"/>
          <w:sz w:val="28"/>
          <w:szCs w:val="28"/>
        </w:rPr>
        <w:t>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D4B22" w:rsidRDefault="00855111" w:rsidP="006D4B2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6D4B22" w:rsidRDefault="00855111" w:rsidP="006D4B2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6D4B22" w:rsidRPr="006D4B22">
        <w:rPr>
          <w:rFonts w:ascii="PT Astra Serif" w:hAnsi="PT Astra Serif"/>
          <w:b/>
          <w:sz w:val="28"/>
          <w:szCs w:val="28"/>
        </w:rPr>
        <w:t>плановой выездной проверки</w:t>
      </w:r>
    </w:p>
    <w:p w:rsidR="006D4B22" w:rsidRDefault="006D4B22" w:rsidP="006D4B2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D4B22">
        <w:rPr>
          <w:rFonts w:ascii="PT Astra Serif" w:hAnsi="PT Astra Serif"/>
          <w:b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в целях осуществления внутреннего муниципального финансового контроля в деятельности муниципального казенного общеобразовательного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D4B22">
        <w:rPr>
          <w:rFonts w:ascii="PT Astra Serif" w:hAnsi="PT Astra Serif"/>
          <w:b/>
          <w:sz w:val="28"/>
          <w:szCs w:val="28"/>
        </w:rPr>
        <w:t>учреждения «</w:t>
      </w:r>
      <w:proofErr w:type="spellStart"/>
      <w:r w:rsidRPr="006D4B22">
        <w:rPr>
          <w:rFonts w:ascii="PT Astra Serif" w:hAnsi="PT Astra Serif"/>
          <w:b/>
          <w:sz w:val="28"/>
          <w:szCs w:val="28"/>
        </w:rPr>
        <w:t>Присадская</w:t>
      </w:r>
      <w:proofErr w:type="spellEnd"/>
      <w:r w:rsidRPr="006D4B22">
        <w:rPr>
          <w:rFonts w:ascii="PT Astra Serif" w:hAnsi="PT Astra Serif"/>
          <w:b/>
          <w:sz w:val="28"/>
          <w:szCs w:val="28"/>
        </w:rPr>
        <w:t xml:space="preserve"> средняя общеобразовательная школа»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D4B22">
        <w:rPr>
          <w:rFonts w:ascii="PT Astra Serif" w:hAnsi="PT Astra Serif"/>
          <w:b/>
          <w:sz w:val="28"/>
          <w:szCs w:val="28"/>
        </w:rPr>
        <w:t xml:space="preserve">муниципального </w:t>
      </w:r>
    </w:p>
    <w:p w:rsidR="006D4B22" w:rsidRPr="006D4B22" w:rsidRDefault="006D4B22" w:rsidP="006D4B2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D4B22">
        <w:rPr>
          <w:rFonts w:ascii="PT Astra Serif" w:hAnsi="PT Astra Serif"/>
          <w:b/>
          <w:sz w:val="28"/>
          <w:szCs w:val="28"/>
        </w:rPr>
        <w:t>образования Киреевский район</w:t>
      </w:r>
    </w:p>
    <w:p w:rsidR="006D4B22" w:rsidRDefault="006D4B22" w:rsidP="006D4B2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D4B22">
        <w:rPr>
          <w:rFonts w:ascii="PT Astra Serif" w:hAnsi="PT Astra Serif"/>
          <w:b/>
          <w:sz w:val="28"/>
          <w:szCs w:val="28"/>
        </w:rPr>
        <w:t>(МКОУ «</w:t>
      </w:r>
      <w:proofErr w:type="spellStart"/>
      <w:r w:rsidRPr="006D4B22">
        <w:rPr>
          <w:rFonts w:ascii="PT Astra Serif" w:hAnsi="PT Astra Serif"/>
          <w:b/>
          <w:sz w:val="28"/>
          <w:szCs w:val="28"/>
        </w:rPr>
        <w:t>Присадская</w:t>
      </w:r>
      <w:proofErr w:type="spellEnd"/>
      <w:r w:rsidRPr="006D4B22">
        <w:rPr>
          <w:rFonts w:ascii="PT Astra Serif" w:hAnsi="PT Astra Serif"/>
          <w:b/>
          <w:sz w:val="28"/>
          <w:szCs w:val="28"/>
        </w:rPr>
        <w:t xml:space="preserve"> СОШ)</w:t>
      </w:r>
    </w:p>
    <w:p w:rsidR="006D4B22" w:rsidRPr="00535444" w:rsidRDefault="006D4B22" w:rsidP="006D4B2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535444" w:rsidRPr="00535444" w:rsidRDefault="00535444" w:rsidP="00535444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5444">
        <w:rPr>
          <w:rFonts w:ascii="PT Astra Serif" w:hAnsi="PT Astra Serif"/>
          <w:sz w:val="28"/>
          <w:szCs w:val="28"/>
        </w:rPr>
        <w:t xml:space="preserve">Контрольное мероприятие проведено на основании приказа финансового управления администрации муниципального образования Киреевский район (далее – Финансовое управление) от 07.02.2023 № 13 «О проведении плановой выездной проверки», пункта 1 Плана контрольный мероприятий на 2023 год по внутреннему муниципальному финансовому контролю, утверждённого приказом Финансового управления от 21.12.2022 № 78. </w:t>
      </w:r>
    </w:p>
    <w:p w:rsidR="00535444" w:rsidRPr="00535444" w:rsidRDefault="00535444" w:rsidP="00535444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5444">
        <w:rPr>
          <w:rFonts w:ascii="PT Astra Serif" w:hAnsi="PT Astra Serif"/>
          <w:sz w:val="28"/>
          <w:szCs w:val="28"/>
        </w:rPr>
        <w:t>Тема контрольного мероприятия «Соблюдение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нужд».</w:t>
      </w:r>
    </w:p>
    <w:p w:rsidR="00535444" w:rsidRPr="00535444" w:rsidRDefault="00535444" w:rsidP="00535444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5444">
        <w:rPr>
          <w:rFonts w:ascii="PT Astra Serif" w:hAnsi="PT Astra Serif"/>
          <w:sz w:val="28"/>
          <w:szCs w:val="28"/>
        </w:rPr>
        <w:t>Проверяемый период: с 01.01.2021 по 31.12.2022.</w:t>
      </w:r>
    </w:p>
    <w:p w:rsidR="00535444" w:rsidRPr="00535444" w:rsidRDefault="00535444" w:rsidP="00BE34B6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5444">
        <w:rPr>
          <w:rFonts w:ascii="PT Astra Serif" w:hAnsi="PT Astra Serif"/>
          <w:sz w:val="28"/>
          <w:szCs w:val="28"/>
        </w:rPr>
        <w:t xml:space="preserve">Контрольное мероприятие проведено проверочной группой в составе начальника отдела внутреннего финансового контроля финансового управления администрации муниципального образования Киреевский район </w:t>
      </w:r>
      <w:proofErr w:type="spellStart"/>
      <w:r w:rsidRPr="00535444">
        <w:rPr>
          <w:rFonts w:ascii="PT Astra Serif" w:hAnsi="PT Astra Serif"/>
          <w:sz w:val="28"/>
          <w:szCs w:val="28"/>
        </w:rPr>
        <w:t>Сайгушевой</w:t>
      </w:r>
      <w:proofErr w:type="spellEnd"/>
      <w:r w:rsidRPr="00535444">
        <w:rPr>
          <w:rFonts w:ascii="PT Astra Serif" w:hAnsi="PT Astra Serif"/>
          <w:sz w:val="28"/>
          <w:szCs w:val="28"/>
        </w:rPr>
        <w:t xml:space="preserve"> Л.М. (руководитель проверочной группы), консультанта отдела внутреннего финансового контроля финансового управления администрации муниципального образования Киреевский район Диановой М.Н. (член проверочной группы).</w:t>
      </w:r>
    </w:p>
    <w:p w:rsidR="002F5B1A" w:rsidRDefault="00535444" w:rsidP="00BE34B6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35444">
        <w:rPr>
          <w:rFonts w:ascii="PT Astra Serif" w:hAnsi="PT Astra Serif"/>
          <w:sz w:val="28"/>
          <w:szCs w:val="28"/>
        </w:rPr>
        <w:t xml:space="preserve">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муниципальных нужд и иных документов, содержащих информацию о </w:t>
      </w:r>
      <w:r w:rsidRPr="00535444">
        <w:rPr>
          <w:rFonts w:ascii="PT Astra Serif" w:hAnsi="PT Astra Serif"/>
          <w:sz w:val="28"/>
          <w:szCs w:val="28"/>
        </w:rPr>
        <w:lastRenderedPageBreak/>
        <w:t>деятельности объекта контроля, полученных на основании официального запроса № 05-03-24/83 от 07.02.2023, данных информационной системы в сфере закупок на сайте www.zakupki.gov.ru., путем анализа и оценки полученной из него информации, а также путем выездного комиссионного выборочного исследования фактического исполнения контрактов.</w:t>
      </w:r>
    </w:p>
    <w:p w:rsidR="002F5B1A" w:rsidRPr="00535444" w:rsidRDefault="00535444" w:rsidP="00BE34B6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35444">
        <w:rPr>
          <w:rFonts w:ascii="PT Astra Serif" w:hAnsi="PT Astra Serif"/>
          <w:sz w:val="28"/>
          <w:szCs w:val="28"/>
          <w:shd w:val="clear" w:color="auto" w:fill="FFFFFF"/>
        </w:rPr>
        <w:t>Срок проведения контрольного мероприятия составил 10 рабочих дне</w:t>
      </w:r>
      <w:r>
        <w:rPr>
          <w:rFonts w:ascii="PT Astra Serif" w:hAnsi="PT Astra Serif"/>
          <w:sz w:val="28"/>
          <w:szCs w:val="28"/>
          <w:shd w:val="clear" w:color="auto" w:fill="FFFFFF"/>
        </w:rPr>
        <w:t>й</w:t>
      </w:r>
      <w:r w:rsidR="00BE34B6">
        <w:rPr>
          <w:rFonts w:ascii="PT Astra Serif" w:hAnsi="PT Astra Serif"/>
          <w:sz w:val="28"/>
          <w:szCs w:val="28"/>
          <w:shd w:val="clear" w:color="auto" w:fill="FFFFFF"/>
        </w:rPr>
        <w:t xml:space="preserve">: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 13.02.2023 по 28.02.2023. По результатам проверки составлен акт от 10.03.2023 </w:t>
      </w:r>
      <w:r w:rsidRPr="00535444">
        <w:rPr>
          <w:rFonts w:ascii="PT Astra Serif" w:hAnsi="PT Astra Serif"/>
          <w:sz w:val="28"/>
          <w:szCs w:val="28"/>
          <w:shd w:val="clear" w:color="auto" w:fill="FFFFFF"/>
        </w:rPr>
        <w:t xml:space="preserve">№ 01/ПЛ/2023, </w:t>
      </w:r>
      <w:proofErr w:type="gramStart"/>
      <w:r w:rsidRPr="00535444">
        <w:rPr>
          <w:rFonts w:ascii="PT Astra Serif" w:hAnsi="PT Astra Serif"/>
          <w:sz w:val="28"/>
          <w:szCs w:val="28"/>
          <w:shd w:val="clear" w:color="auto" w:fill="FFFFFF"/>
        </w:rPr>
        <w:t>выявлены  нарушения</w:t>
      </w:r>
      <w:proofErr w:type="gramEnd"/>
      <w:r w:rsidRPr="00535444">
        <w:rPr>
          <w:rFonts w:ascii="PT Astra Serif" w:hAnsi="PT Astra Serif"/>
          <w:sz w:val="28"/>
          <w:szCs w:val="28"/>
          <w:shd w:val="clear" w:color="auto" w:fill="FFFFFF"/>
        </w:rPr>
        <w:t xml:space="preserve">: </w:t>
      </w:r>
    </w:p>
    <w:p w:rsidR="00535444" w:rsidRPr="00535444" w:rsidRDefault="00535444" w:rsidP="00535444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PT Astra Serif" w:eastAsia="Times New Roman" w:hAnsi="PT Astra Serif" w:cs="PT Astra Serif"/>
          <w:sz w:val="28"/>
          <w:szCs w:val="28"/>
        </w:rPr>
      </w:pPr>
      <w:r w:rsidRPr="00535444">
        <w:rPr>
          <w:rFonts w:ascii="PT Astra Serif" w:eastAsia="Times New Roman" w:hAnsi="PT Astra Serif" w:cs="PT Astra Serif"/>
          <w:sz w:val="28"/>
          <w:szCs w:val="28"/>
        </w:rPr>
        <w:t xml:space="preserve">части 5 статьи 19 Федерального закона № 44-ФЗ во взаимосвязи  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>с «Правилами определения нормативных затрат на обеспечение функций органов местного самоуправления муниципального образования Киреевский район, отраслевых (функциональных) органов администрации муниципального образования Киреевский район, имеющих статус юридических лиц (включая соответственно территориальные органы и подведомственные им казенные учреждения)», утверждённые постановлением администрации муниципального образования Киреевский район от 30.03.2016 № 149</w:t>
      </w:r>
      <w:r w:rsidRPr="00535444">
        <w:rPr>
          <w:rFonts w:ascii="PT Astra Serif" w:eastAsia="Times New Roman" w:hAnsi="PT Astra Serif" w:cs="PT Astra Serif"/>
          <w:sz w:val="28"/>
          <w:szCs w:val="28"/>
        </w:rPr>
        <w:t xml:space="preserve">;  </w:t>
      </w:r>
    </w:p>
    <w:p w:rsidR="00535444" w:rsidRPr="00535444" w:rsidRDefault="00535444" w:rsidP="00535444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8"/>
          <w:szCs w:val="28"/>
        </w:rPr>
      </w:pPr>
      <w:r w:rsidRPr="00535444">
        <w:rPr>
          <w:rFonts w:ascii="PT Astra Serif" w:eastAsia="Times New Roman" w:hAnsi="PT Astra Serif" w:cs="PT Astra Serif"/>
          <w:sz w:val="28"/>
          <w:szCs w:val="28"/>
        </w:rPr>
        <w:t xml:space="preserve">части 20.1. статьи 22 Федерального закона № 44-ФЗ  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>во взаимосвязи с «Методическими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утверждёнными</w:t>
      </w:r>
      <w:r w:rsidRPr="005354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>Приказом Минэкономразвития России от 02.10.2013 № 567,  «Методическими рекомендациями по применению и обоснованию методов определения цены контракта, заключаемого с единственным поставщиком (подрядчиком, исполнителем) при осуществлении закупок у единственного поставщика», утверждённые постановлением Правительства Тульской области от 27.08.2015 N 404;</w:t>
      </w:r>
    </w:p>
    <w:p w:rsidR="00535444" w:rsidRPr="00535444" w:rsidRDefault="00535444" w:rsidP="00535444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PT Astra Serif" w:eastAsia="Times New Roman" w:hAnsi="PT Astra Serif" w:cs="PT Astra Serif"/>
          <w:sz w:val="28"/>
          <w:szCs w:val="28"/>
        </w:rPr>
      </w:pPr>
      <w:r w:rsidRPr="00535444">
        <w:rPr>
          <w:rFonts w:ascii="PT Astra Serif" w:eastAsia="Times New Roman" w:hAnsi="PT Astra Serif" w:cs="PT Astra Serif"/>
          <w:sz w:val="28"/>
          <w:szCs w:val="28"/>
        </w:rPr>
        <w:t>части 6 статьи 34, частей 2, 6, 7, 7.1. статьи 94 Федерального закона № 44-ФЗ;</w:t>
      </w:r>
    </w:p>
    <w:p w:rsidR="00535444" w:rsidRPr="00535444" w:rsidRDefault="00535444" w:rsidP="00535444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PT Astra Serif" w:eastAsia="Times New Roman" w:hAnsi="PT Astra Serif" w:cs="PT Astra Serif"/>
          <w:sz w:val="28"/>
          <w:szCs w:val="28"/>
        </w:rPr>
      </w:pPr>
      <w:r w:rsidRPr="00535444">
        <w:rPr>
          <w:rFonts w:ascii="PT Astra Serif" w:eastAsia="Times New Roman" w:hAnsi="PT Astra Serif" w:cs="PT Astra Serif"/>
          <w:sz w:val="28"/>
          <w:szCs w:val="28"/>
        </w:rPr>
        <w:t xml:space="preserve"> пункта 1 статьи 10 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 xml:space="preserve">Федерального закона от 06.12.2011 N 402-ФЗ "О бухгалтерском учете",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 </w:t>
      </w:r>
    </w:p>
    <w:p w:rsidR="00535444" w:rsidRP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P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Pr="00535444" w:rsidRDefault="00535444" w:rsidP="00BE34B6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535444">
        <w:rPr>
          <w:rFonts w:ascii="PT Astra Serif" w:hAnsi="PT Astra Serif"/>
          <w:sz w:val="28"/>
          <w:szCs w:val="28"/>
        </w:rPr>
        <w:lastRenderedPageBreak/>
        <w:t xml:space="preserve">Финансовое управление администрации муниципального образования Киреевский район в </w:t>
      </w:r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соответствии со </w:t>
      </w:r>
      <w:hyperlink r:id="rId8" w:history="1">
        <w:r w:rsidRPr="0053544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269.2</w:t>
        </w:r>
      </w:hyperlink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9" w:history="1">
        <w:r w:rsidRPr="0053544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270.2</w:t>
        </w:r>
      </w:hyperlink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53544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пунктами 7</w:t>
        </w:r>
      </w:hyperlink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1" w:history="1">
        <w:r w:rsidRPr="0053544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8</w:t>
        </w:r>
      </w:hyperlink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(далее - федеральный стандарт N 1095),</w:t>
      </w:r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адрес </w:t>
      </w:r>
      <w:r w:rsidRPr="0053544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комитета по образованию </w:t>
      </w:r>
      <w:r w:rsidRPr="00535444"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администрации муниципального образования Киреевский район</w:t>
      </w:r>
      <w:r w:rsidRPr="0053544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>МКОУ «</w:t>
      </w:r>
      <w:proofErr w:type="spellStart"/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>Присадская</w:t>
      </w:r>
      <w:proofErr w:type="spellEnd"/>
      <w:r w:rsidRPr="0053544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СОШ, </w:t>
      </w:r>
      <w:r w:rsidR="00BE34B6">
        <w:rPr>
          <w:rFonts w:ascii="PT Astra Serif" w:eastAsia="Times New Roman" w:hAnsi="PT Astra Serif" w:cs="Times New Roman"/>
          <w:sz w:val="28"/>
          <w:szCs w:val="28"/>
        </w:rPr>
        <w:t>МКУ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 xml:space="preserve"> «Центр бухгалтерского учёта муниципального образования Киреевский район»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 xml:space="preserve"> направило Представление от 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>14.03.2023 №05-03-24/137</w:t>
      </w:r>
      <w:r w:rsidRPr="00535444">
        <w:rPr>
          <w:rFonts w:ascii="PT Astra Serif" w:eastAsia="Times New Roman" w:hAnsi="PT Astra Serif" w:cs="Times New Roman"/>
          <w:sz w:val="28"/>
          <w:szCs w:val="28"/>
        </w:rPr>
        <w:t xml:space="preserve"> с требованием </w:t>
      </w:r>
      <w:r w:rsidRPr="00535444">
        <w:rPr>
          <w:rFonts w:ascii="PT Astra Serif" w:hAnsi="PT Astra Serif" w:cs="PT Astra Serif"/>
          <w:sz w:val="28"/>
          <w:szCs w:val="28"/>
        </w:rPr>
        <w:t>принятия  мер</w:t>
      </w:r>
      <w:r w:rsidRPr="00535444">
        <w:rPr>
          <w:rFonts w:ascii="PT Astra Serif" w:hAnsi="PT Astra Serif" w:cs="PT Astra Serif"/>
          <w:sz w:val="28"/>
          <w:szCs w:val="28"/>
        </w:rPr>
        <w:t xml:space="preserve"> по устранению причин и условий вышеуказанных  нарушений</w:t>
      </w:r>
      <w:r w:rsidRPr="00535444">
        <w:rPr>
          <w:rFonts w:ascii="PT Astra Serif" w:hAnsi="PT Astra Serif" w:cs="PT Astra Serif"/>
          <w:sz w:val="28"/>
          <w:szCs w:val="28"/>
        </w:rPr>
        <w:t>.</w:t>
      </w:r>
    </w:p>
    <w:p w:rsidR="00535444" w:rsidRPr="00535444" w:rsidRDefault="00535444" w:rsidP="00535444">
      <w:pPr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F5B1A" w:rsidRPr="00535444" w:rsidRDefault="002F5B1A" w:rsidP="00535444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535444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5444" w:rsidRDefault="00535444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proofErr w:type="spellStart"/>
      <w:r w:rsidRPr="002F5B1A">
        <w:rPr>
          <w:rFonts w:ascii="PT Astra Serif" w:hAnsi="PT Astra Serif"/>
          <w:sz w:val="24"/>
          <w:szCs w:val="24"/>
          <w:shd w:val="clear" w:color="auto" w:fill="FFFFFF"/>
        </w:rPr>
        <w:t>Исп.Сайгушева</w:t>
      </w:r>
      <w:proofErr w:type="spellEnd"/>
      <w:r w:rsidRPr="002F5B1A">
        <w:rPr>
          <w:rFonts w:ascii="PT Astra Serif" w:hAnsi="PT Astra Serif"/>
          <w:sz w:val="24"/>
          <w:szCs w:val="24"/>
          <w:shd w:val="clear" w:color="auto" w:fill="FFFFFF"/>
        </w:rPr>
        <w:t xml:space="preserve"> Л.М.</w:t>
      </w: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тел.8(48754)6-63-41</w:t>
      </w:r>
      <w:bookmarkStart w:id="0" w:name="_GoBack"/>
      <w:bookmarkEnd w:id="0"/>
    </w:p>
    <w:sectPr w:rsidR="002F5B1A" w:rsidRPr="002F5B1A" w:rsidSect="000C28F8">
      <w:footerReference w:type="default" r:id="rId12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FA" w:rsidRDefault="008F2BFA" w:rsidP="00555290">
      <w:pPr>
        <w:spacing w:after="0" w:line="240" w:lineRule="auto"/>
      </w:pPr>
      <w:r>
        <w:separator/>
      </w:r>
    </w:p>
  </w:endnote>
  <w:endnote w:type="continuationSeparator" w:id="0">
    <w:p w:rsidR="008F2BFA" w:rsidRDefault="008F2BFA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C154FC" w:rsidRDefault="00C154F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E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4FC" w:rsidRDefault="00C154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FA" w:rsidRDefault="008F2BFA" w:rsidP="00555290">
      <w:pPr>
        <w:spacing w:after="0" w:line="240" w:lineRule="auto"/>
      </w:pPr>
      <w:r>
        <w:separator/>
      </w:r>
    </w:p>
  </w:footnote>
  <w:footnote w:type="continuationSeparator" w:id="0">
    <w:p w:rsidR="008F2BFA" w:rsidRDefault="008F2BFA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1EB"/>
    <w:multiLevelType w:val="hybridMultilevel"/>
    <w:tmpl w:val="BEEA8B4C"/>
    <w:lvl w:ilvl="0" w:tplc="A39E69C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2001AF4"/>
    <w:multiLevelType w:val="multilevel"/>
    <w:tmpl w:val="3F5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8">
    <w:nsid w:val="41C600C2"/>
    <w:multiLevelType w:val="hybridMultilevel"/>
    <w:tmpl w:val="C41E4828"/>
    <w:lvl w:ilvl="0" w:tplc="BAD85FC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4F2B"/>
    <w:rsid w:val="0000594B"/>
    <w:rsid w:val="000078D4"/>
    <w:rsid w:val="00011BE2"/>
    <w:rsid w:val="00012F37"/>
    <w:rsid w:val="000142A1"/>
    <w:rsid w:val="00015983"/>
    <w:rsid w:val="00015CBE"/>
    <w:rsid w:val="00022C80"/>
    <w:rsid w:val="000241CB"/>
    <w:rsid w:val="000271D3"/>
    <w:rsid w:val="00027E95"/>
    <w:rsid w:val="00030552"/>
    <w:rsid w:val="00031F73"/>
    <w:rsid w:val="000353B9"/>
    <w:rsid w:val="000376A8"/>
    <w:rsid w:val="000448F5"/>
    <w:rsid w:val="00046F1C"/>
    <w:rsid w:val="00047DC2"/>
    <w:rsid w:val="00051525"/>
    <w:rsid w:val="00053BEE"/>
    <w:rsid w:val="000707AE"/>
    <w:rsid w:val="00071AA5"/>
    <w:rsid w:val="00090EC9"/>
    <w:rsid w:val="000975E9"/>
    <w:rsid w:val="000A0315"/>
    <w:rsid w:val="000C28F8"/>
    <w:rsid w:val="000C62A9"/>
    <w:rsid w:val="000D2125"/>
    <w:rsid w:val="000D2963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4C96"/>
    <w:rsid w:val="00117A9F"/>
    <w:rsid w:val="00120E0C"/>
    <w:rsid w:val="00124D89"/>
    <w:rsid w:val="00126CDF"/>
    <w:rsid w:val="0013396B"/>
    <w:rsid w:val="0013593C"/>
    <w:rsid w:val="00135EE8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4083"/>
    <w:rsid w:val="00215643"/>
    <w:rsid w:val="002207AA"/>
    <w:rsid w:val="00226173"/>
    <w:rsid w:val="00230AC4"/>
    <w:rsid w:val="00232BA5"/>
    <w:rsid w:val="002406EC"/>
    <w:rsid w:val="0024091D"/>
    <w:rsid w:val="00245079"/>
    <w:rsid w:val="002535D9"/>
    <w:rsid w:val="00257AB8"/>
    <w:rsid w:val="002613CF"/>
    <w:rsid w:val="00270452"/>
    <w:rsid w:val="00273C56"/>
    <w:rsid w:val="002745F1"/>
    <w:rsid w:val="00275A10"/>
    <w:rsid w:val="00286F55"/>
    <w:rsid w:val="002A4E6B"/>
    <w:rsid w:val="002B2886"/>
    <w:rsid w:val="002B3DE7"/>
    <w:rsid w:val="002B5827"/>
    <w:rsid w:val="002C3762"/>
    <w:rsid w:val="002D0D19"/>
    <w:rsid w:val="002D596C"/>
    <w:rsid w:val="002E1550"/>
    <w:rsid w:val="002F3199"/>
    <w:rsid w:val="002F5B1A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50C9C"/>
    <w:rsid w:val="00353B25"/>
    <w:rsid w:val="003561AD"/>
    <w:rsid w:val="0036786B"/>
    <w:rsid w:val="00373680"/>
    <w:rsid w:val="003765B3"/>
    <w:rsid w:val="003778FD"/>
    <w:rsid w:val="00382BE7"/>
    <w:rsid w:val="0038551C"/>
    <w:rsid w:val="00392F12"/>
    <w:rsid w:val="003A2E98"/>
    <w:rsid w:val="003A5F4F"/>
    <w:rsid w:val="003B6C63"/>
    <w:rsid w:val="003D0388"/>
    <w:rsid w:val="003D6B75"/>
    <w:rsid w:val="003D6F03"/>
    <w:rsid w:val="003F4380"/>
    <w:rsid w:val="004015FF"/>
    <w:rsid w:val="00404BE9"/>
    <w:rsid w:val="00421698"/>
    <w:rsid w:val="004234A6"/>
    <w:rsid w:val="0042472C"/>
    <w:rsid w:val="0042492E"/>
    <w:rsid w:val="00430EC0"/>
    <w:rsid w:val="004311A2"/>
    <w:rsid w:val="004333A7"/>
    <w:rsid w:val="00433DBD"/>
    <w:rsid w:val="00435532"/>
    <w:rsid w:val="00436DA1"/>
    <w:rsid w:val="0043735E"/>
    <w:rsid w:val="00442236"/>
    <w:rsid w:val="004427F6"/>
    <w:rsid w:val="00450A86"/>
    <w:rsid w:val="00457931"/>
    <w:rsid w:val="00457EC9"/>
    <w:rsid w:val="0046648B"/>
    <w:rsid w:val="00472DEE"/>
    <w:rsid w:val="00477C76"/>
    <w:rsid w:val="00483915"/>
    <w:rsid w:val="00484D4A"/>
    <w:rsid w:val="00491D08"/>
    <w:rsid w:val="004A7E83"/>
    <w:rsid w:val="004B1F72"/>
    <w:rsid w:val="004B4DAD"/>
    <w:rsid w:val="004B5796"/>
    <w:rsid w:val="004B68B4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14A"/>
    <w:rsid w:val="005122D5"/>
    <w:rsid w:val="00513949"/>
    <w:rsid w:val="005159FF"/>
    <w:rsid w:val="005174C6"/>
    <w:rsid w:val="00521833"/>
    <w:rsid w:val="005254DF"/>
    <w:rsid w:val="0053322D"/>
    <w:rsid w:val="00534CB9"/>
    <w:rsid w:val="00535444"/>
    <w:rsid w:val="00541B79"/>
    <w:rsid w:val="005459ED"/>
    <w:rsid w:val="00553DEF"/>
    <w:rsid w:val="0055463F"/>
    <w:rsid w:val="0055504B"/>
    <w:rsid w:val="00555290"/>
    <w:rsid w:val="00557466"/>
    <w:rsid w:val="00562DE4"/>
    <w:rsid w:val="00564C19"/>
    <w:rsid w:val="005703F1"/>
    <w:rsid w:val="005742B4"/>
    <w:rsid w:val="00576E09"/>
    <w:rsid w:val="00577F37"/>
    <w:rsid w:val="005827A3"/>
    <w:rsid w:val="00594608"/>
    <w:rsid w:val="00597A66"/>
    <w:rsid w:val="005A06D8"/>
    <w:rsid w:val="005A7750"/>
    <w:rsid w:val="005D0532"/>
    <w:rsid w:val="005E0C3A"/>
    <w:rsid w:val="005E5084"/>
    <w:rsid w:val="005F09DC"/>
    <w:rsid w:val="00601B72"/>
    <w:rsid w:val="006030BD"/>
    <w:rsid w:val="00612837"/>
    <w:rsid w:val="00613EBE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5751"/>
    <w:rsid w:val="006865CC"/>
    <w:rsid w:val="00692687"/>
    <w:rsid w:val="006A535E"/>
    <w:rsid w:val="006B0295"/>
    <w:rsid w:val="006B130C"/>
    <w:rsid w:val="006B6C0C"/>
    <w:rsid w:val="006C00E5"/>
    <w:rsid w:val="006C261B"/>
    <w:rsid w:val="006C752A"/>
    <w:rsid w:val="006C7E59"/>
    <w:rsid w:val="006D2049"/>
    <w:rsid w:val="006D47FA"/>
    <w:rsid w:val="006D4B22"/>
    <w:rsid w:val="006D52EF"/>
    <w:rsid w:val="006E1219"/>
    <w:rsid w:val="006F1B4B"/>
    <w:rsid w:val="006F2E93"/>
    <w:rsid w:val="00702A59"/>
    <w:rsid w:val="00703041"/>
    <w:rsid w:val="007103E0"/>
    <w:rsid w:val="007113C5"/>
    <w:rsid w:val="00711C29"/>
    <w:rsid w:val="00717D4F"/>
    <w:rsid w:val="007206D8"/>
    <w:rsid w:val="00726763"/>
    <w:rsid w:val="007316C3"/>
    <w:rsid w:val="0073206A"/>
    <w:rsid w:val="00736D82"/>
    <w:rsid w:val="00742040"/>
    <w:rsid w:val="00751B62"/>
    <w:rsid w:val="007600E5"/>
    <w:rsid w:val="00764A7E"/>
    <w:rsid w:val="00767E64"/>
    <w:rsid w:val="0078012B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71D4"/>
    <w:rsid w:val="008128E9"/>
    <w:rsid w:val="00813627"/>
    <w:rsid w:val="00814A75"/>
    <w:rsid w:val="00822350"/>
    <w:rsid w:val="008276AD"/>
    <w:rsid w:val="0083635C"/>
    <w:rsid w:val="00855111"/>
    <w:rsid w:val="00856B70"/>
    <w:rsid w:val="008573FB"/>
    <w:rsid w:val="008659D4"/>
    <w:rsid w:val="00883DA8"/>
    <w:rsid w:val="008852E0"/>
    <w:rsid w:val="008900DF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8F2BFA"/>
    <w:rsid w:val="009066C9"/>
    <w:rsid w:val="00907911"/>
    <w:rsid w:val="00907DDF"/>
    <w:rsid w:val="00911B49"/>
    <w:rsid w:val="00924269"/>
    <w:rsid w:val="00925A2C"/>
    <w:rsid w:val="00926278"/>
    <w:rsid w:val="0093725B"/>
    <w:rsid w:val="009427B4"/>
    <w:rsid w:val="00952957"/>
    <w:rsid w:val="00953F39"/>
    <w:rsid w:val="009660FA"/>
    <w:rsid w:val="009729A7"/>
    <w:rsid w:val="00983089"/>
    <w:rsid w:val="009A6D4C"/>
    <w:rsid w:val="009B4D6D"/>
    <w:rsid w:val="009D37FF"/>
    <w:rsid w:val="009E1B9B"/>
    <w:rsid w:val="009E7C6F"/>
    <w:rsid w:val="009F7764"/>
    <w:rsid w:val="00A0050A"/>
    <w:rsid w:val="00A020DC"/>
    <w:rsid w:val="00A100A3"/>
    <w:rsid w:val="00A1752E"/>
    <w:rsid w:val="00A2247E"/>
    <w:rsid w:val="00A227B6"/>
    <w:rsid w:val="00A27568"/>
    <w:rsid w:val="00A32DB7"/>
    <w:rsid w:val="00A3364A"/>
    <w:rsid w:val="00A338BF"/>
    <w:rsid w:val="00A60C81"/>
    <w:rsid w:val="00A649CC"/>
    <w:rsid w:val="00A6619E"/>
    <w:rsid w:val="00A7544C"/>
    <w:rsid w:val="00A755D0"/>
    <w:rsid w:val="00A85485"/>
    <w:rsid w:val="00A92FD9"/>
    <w:rsid w:val="00A97F81"/>
    <w:rsid w:val="00AA09FA"/>
    <w:rsid w:val="00AA4093"/>
    <w:rsid w:val="00AB3A2F"/>
    <w:rsid w:val="00AB41CA"/>
    <w:rsid w:val="00AC3013"/>
    <w:rsid w:val="00AC4740"/>
    <w:rsid w:val="00AC5C31"/>
    <w:rsid w:val="00AC6F36"/>
    <w:rsid w:val="00AD17E7"/>
    <w:rsid w:val="00AD3CA7"/>
    <w:rsid w:val="00AD53BA"/>
    <w:rsid w:val="00AE16C9"/>
    <w:rsid w:val="00AE3589"/>
    <w:rsid w:val="00AE3D90"/>
    <w:rsid w:val="00AE3D99"/>
    <w:rsid w:val="00AE6607"/>
    <w:rsid w:val="00AE776C"/>
    <w:rsid w:val="00AE7B6C"/>
    <w:rsid w:val="00AF1919"/>
    <w:rsid w:val="00AF4237"/>
    <w:rsid w:val="00B02A12"/>
    <w:rsid w:val="00B03AC1"/>
    <w:rsid w:val="00B04507"/>
    <w:rsid w:val="00B15D8F"/>
    <w:rsid w:val="00B17245"/>
    <w:rsid w:val="00B22C24"/>
    <w:rsid w:val="00B237CB"/>
    <w:rsid w:val="00B300A8"/>
    <w:rsid w:val="00B30E4E"/>
    <w:rsid w:val="00B31462"/>
    <w:rsid w:val="00B34143"/>
    <w:rsid w:val="00B40096"/>
    <w:rsid w:val="00B40660"/>
    <w:rsid w:val="00B45F83"/>
    <w:rsid w:val="00B537FA"/>
    <w:rsid w:val="00B57AF0"/>
    <w:rsid w:val="00B6456D"/>
    <w:rsid w:val="00B7007D"/>
    <w:rsid w:val="00B70880"/>
    <w:rsid w:val="00B943DE"/>
    <w:rsid w:val="00BC288C"/>
    <w:rsid w:val="00BC316D"/>
    <w:rsid w:val="00BC5ACD"/>
    <w:rsid w:val="00BC67A3"/>
    <w:rsid w:val="00BD026B"/>
    <w:rsid w:val="00BD2237"/>
    <w:rsid w:val="00BE34B6"/>
    <w:rsid w:val="00BF3310"/>
    <w:rsid w:val="00C01E4C"/>
    <w:rsid w:val="00C0615F"/>
    <w:rsid w:val="00C154FC"/>
    <w:rsid w:val="00C21D36"/>
    <w:rsid w:val="00C3052C"/>
    <w:rsid w:val="00C41E7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3D2E"/>
    <w:rsid w:val="00C87969"/>
    <w:rsid w:val="00C90C00"/>
    <w:rsid w:val="00CA339F"/>
    <w:rsid w:val="00CA467B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64C0"/>
    <w:rsid w:val="00CF011D"/>
    <w:rsid w:val="00CF3B07"/>
    <w:rsid w:val="00D04047"/>
    <w:rsid w:val="00D078DC"/>
    <w:rsid w:val="00D115CC"/>
    <w:rsid w:val="00D118B0"/>
    <w:rsid w:val="00D167EF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5A40"/>
    <w:rsid w:val="00DA0109"/>
    <w:rsid w:val="00DA03D5"/>
    <w:rsid w:val="00DB0233"/>
    <w:rsid w:val="00DB52D9"/>
    <w:rsid w:val="00DB7FBD"/>
    <w:rsid w:val="00DD2DEF"/>
    <w:rsid w:val="00DE3D8B"/>
    <w:rsid w:val="00DE5010"/>
    <w:rsid w:val="00DE586A"/>
    <w:rsid w:val="00E11642"/>
    <w:rsid w:val="00E216DE"/>
    <w:rsid w:val="00E25E04"/>
    <w:rsid w:val="00E33A37"/>
    <w:rsid w:val="00E37586"/>
    <w:rsid w:val="00E42B58"/>
    <w:rsid w:val="00E42E78"/>
    <w:rsid w:val="00E44489"/>
    <w:rsid w:val="00E4543F"/>
    <w:rsid w:val="00E51200"/>
    <w:rsid w:val="00E83C97"/>
    <w:rsid w:val="00E87C38"/>
    <w:rsid w:val="00E90424"/>
    <w:rsid w:val="00E91297"/>
    <w:rsid w:val="00E949DC"/>
    <w:rsid w:val="00E96A5C"/>
    <w:rsid w:val="00EA1B39"/>
    <w:rsid w:val="00EA2AEC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F6A77"/>
    <w:rsid w:val="00F0590E"/>
    <w:rsid w:val="00F107C3"/>
    <w:rsid w:val="00F113F7"/>
    <w:rsid w:val="00F15A55"/>
    <w:rsid w:val="00F1620A"/>
    <w:rsid w:val="00F174FB"/>
    <w:rsid w:val="00F1794E"/>
    <w:rsid w:val="00F30B12"/>
    <w:rsid w:val="00F31845"/>
    <w:rsid w:val="00F435D8"/>
    <w:rsid w:val="00F5364A"/>
    <w:rsid w:val="00F56609"/>
    <w:rsid w:val="00F60BE6"/>
    <w:rsid w:val="00F61FB8"/>
    <w:rsid w:val="00F62965"/>
    <w:rsid w:val="00F71EEA"/>
    <w:rsid w:val="00F72E06"/>
    <w:rsid w:val="00F7732A"/>
    <w:rsid w:val="00F8178B"/>
    <w:rsid w:val="00F85A54"/>
    <w:rsid w:val="00F916CA"/>
    <w:rsid w:val="00F93E68"/>
    <w:rsid w:val="00F94F83"/>
    <w:rsid w:val="00F978CF"/>
    <w:rsid w:val="00FA3242"/>
    <w:rsid w:val="00FB45E6"/>
    <w:rsid w:val="00FB49EF"/>
    <w:rsid w:val="00FC2448"/>
    <w:rsid w:val="00FD0C97"/>
    <w:rsid w:val="00FD7BC7"/>
    <w:rsid w:val="00FE7E8A"/>
    <w:rsid w:val="00FF09C9"/>
    <w:rsid w:val="00FF3BD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9F452220FE7F43A74D8ABF6E81856FB9A672CD73F80F1A4CC58B9EE0A5E17B8ED908F22F6693B24EB296DBA2DD96B14547F11EE2Ek7i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9F452220FE7F43A74D8ABF6E81856FB99612FD73A80F1A4CC58B9EE0A5E17B8ED908D25F46B3373B13969F379D07410496110F02E70FEk5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29F452220FE7F43A74D8ABF6E81856FB99612FD73A80F1A4CC58B9EE0A5E17B8ED908D25F46B3370B13969F379D07410496110F02E70FEk5i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9F452220FE7F43A74D8ABF6E81856FB9A672CD73F80F1A4CC58B9EE0A5E17B8ED908F22F76F3B24EB296DBA2DD96B14547F11EE2Ek7i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4AF8-091E-45E0-9A83-EBAAA0C4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4</cp:revision>
  <cp:lastPrinted>2022-05-16T12:24:00Z</cp:lastPrinted>
  <dcterms:created xsi:type="dcterms:W3CDTF">2023-03-15T12:02:00Z</dcterms:created>
  <dcterms:modified xsi:type="dcterms:W3CDTF">2023-03-15T12:47:00Z</dcterms:modified>
</cp:coreProperties>
</file>