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13" w:rsidRPr="00822013" w:rsidRDefault="00822013" w:rsidP="00822013">
      <w:pPr>
        <w:jc w:val="center"/>
      </w:pPr>
      <w:r w:rsidRPr="00822013">
        <w:drawing>
          <wp:inline distT="0" distB="0" distL="0" distR="0">
            <wp:extent cx="4895850" cy="3279081"/>
            <wp:effectExtent l="0" t="0" r="0" b="0"/>
            <wp:docPr id="1" name="Рисунок 1" descr="C:\Users\Bobrova\AppData\Local\Packages\Microsoft.Windows.Photos_8wekyb3d8bbwe\TempState\ShareServiceTempFolder\3e638719-f7b4-4e03-a19a-b4045158e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rova\AppData\Local\Packages\Microsoft.Windows.Photos_8wekyb3d8bbwe\TempState\ShareServiceTempFolder\3e638719-f7b4-4e03-a19a-b4045158e0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81" cy="328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13" w:rsidRDefault="00822013"/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И</w:t>
      </w:r>
      <w:r w:rsidR="00F03C6F" w:rsidRPr="00822013">
        <w:rPr>
          <w:rFonts w:ascii="PT Astra Serif" w:hAnsi="PT Astra Serif"/>
          <w:sz w:val="24"/>
          <w:szCs w:val="24"/>
        </w:rPr>
        <w:t xml:space="preserve">нвестиционный уполномоченный Киреевского района Калугина Инна </w:t>
      </w:r>
      <w:r w:rsidRPr="00822013">
        <w:rPr>
          <w:rFonts w:ascii="PT Astra Serif" w:hAnsi="PT Astra Serif"/>
          <w:sz w:val="24"/>
          <w:szCs w:val="24"/>
        </w:rPr>
        <w:t xml:space="preserve">приняла участие в образовательной программе «Специфика реализации проектов государственно-частного партнерства» </w:t>
      </w:r>
      <w:bookmarkStart w:id="0" w:name="_GoBack"/>
      <w:bookmarkEnd w:id="0"/>
      <w:r w:rsidRPr="00822013">
        <w:rPr>
          <w:rFonts w:ascii="PT Astra Serif" w:hAnsi="PT Astra Serif"/>
          <w:sz w:val="24"/>
          <w:szCs w:val="24"/>
        </w:rPr>
        <w:t>Программа: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опыт Банка в реализации проектов ГЧП;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экосистема #МЕГАИГРОК;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роль на различных этапах реализации проекта;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особенности структурирования и реализации проектов ГЧП, отличие от государственного заказа;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ключевые риски, их распределение и способы минимизации и платёжные механизмы (с учётом тенденций законодательного регулирования);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актуальные вопросы финансового участия публичной стороны;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ключевые условия привлечения банковского финансирования;</w:t>
      </w:r>
    </w:p>
    <w:p w:rsidR="00822013" w:rsidRPr="00822013" w:rsidRDefault="00822013" w:rsidP="00822013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822013">
        <w:rPr>
          <w:rFonts w:ascii="PT Astra Serif" w:hAnsi="PT Astra Serif"/>
          <w:sz w:val="24"/>
          <w:szCs w:val="24"/>
        </w:rPr>
        <w:t>- сессия вопросов и ответов.</w:t>
      </w:r>
    </w:p>
    <w:sectPr w:rsidR="00822013" w:rsidRPr="0082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F"/>
    <w:rsid w:val="001050D5"/>
    <w:rsid w:val="00822013"/>
    <w:rsid w:val="00F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9A14-A849-4CB2-96E3-300D1BCD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2024-07-09T08:21:00Z</dcterms:created>
  <dcterms:modified xsi:type="dcterms:W3CDTF">2024-07-09T08:21:00Z</dcterms:modified>
</cp:coreProperties>
</file>