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0EC" w:rsidRPr="003A10EC" w:rsidRDefault="003A10EC" w:rsidP="003A10EC">
      <w:pPr>
        <w:pStyle w:val="a3"/>
        <w:jc w:val="center"/>
        <w:rPr>
          <w:b/>
          <w:i/>
          <w:sz w:val="28"/>
          <w:szCs w:val="28"/>
        </w:rPr>
      </w:pPr>
    </w:p>
    <w:p w:rsidR="003C64C0" w:rsidRDefault="003C64C0" w:rsidP="003A10EC">
      <w:pPr>
        <w:pStyle w:val="a3"/>
        <w:jc w:val="center"/>
        <w:rPr>
          <w:b/>
          <w:i/>
          <w:sz w:val="28"/>
          <w:szCs w:val="28"/>
        </w:rPr>
      </w:pPr>
      <w:r>
        <w:rPr>
          <w:b/>
          <w:i/>
          <w:noProof/>
          <w:sz w:val="28"/>
          <w:szCs w:val="28"/>
        </w:rPr>
        <w:pict>
          <v:roundrect id="_x0000_s1026" style="position:absolute;left:0;text-align:left;margin-left:3.85pt;margin-top:-18.8pt;width:456.4pt;height:20.7pt;z-index:251658240" arcsize="10923f">
            <v:fill r:id="rId5" o:title="Газетная бумага" type="tile"/>
            <v:textbox style="mso-next-textbox:#_x0000_s1026">
              <w:txbxContent>
                <w:p w:rsidR="003C64C0" w:rsidRPr="00FE7C97" w:rsidRDefault="003C64C0" w:rsidP="003C64C0">
                  <w:pPr>
                    <w:pStyle w:val="a8"/>
                    <w:ind w:right="27"/>
                    <w:jc w:val="center"/>
                    <w:rPr>
                      <w:b/>
                      <w:i/>
                      <w:sz w:val="20"/>
                      <w:szCs w:val="20"/>
                    </w:rPr>
                  </w:pPr>
                  <w:r w:rsidRPr="00FE7C97">
                    <w:rPr>
                      <w:b/>
                      <w:i/>
                      <w:sz w:val="20"/>
                      <w:szCs w:val="20"/>
                    </w:rPr>
                    <w:t>Итоги социально-экономического развития муниципального образования Киреевский район</w:t>
                  </w:r>
                </w:p>
                <w:p w:rsidR="003C64C0" w:rsidRDefault="003C64C0" w:rsidP="003C64C0">
                  <w:pPr>
                    <w:ind w:right="27"/>
                  </w:pPr>
                </w:p>
              </w:txbxContent>
            </v:textbox>
          </v:roundrect>
        </w:pict>
      </w:r>
    </w:p>
    <w:p w:rsidR="003A10EC" w:rsidRPr="003A10EC" w:rsidRDefault="003A10EC" w:rsidP="003A10EC">
      <w:pPr>
        <w:pStyle w:val="a3"/>
        <w:jc w:val="center"/>
        <w:rPr>
          <w:b/>
          <w:i/>
          <w:sz w:val="28"/>
          <w:szCs w:val="28"/>
        </w:rPr>
      </w:pPr>
      <w:r w:rsidRPr="003A10EC">
        <w:rPr>
          <w:b/>
          <w:i/>
          <w:sz w:val="28"/>
          <w:szCs w:val="28"/>
        </w:rPr>
        <w:t>Итоги развития</w:t>
      </w:r>
    </w:p>
    <w:p w:rsidR="003A10EC" w:rsidRDefault="003A10EC" w:rsidP="003A10EC">
      <w:pPr>
        <w:pStyle w:val="a3"/>
        <w:jc w:val="center"/>
        <w:rPr>
          <w:b/>
          <w:i/>
          <w:sz w:val="28"/>
          <w:szCs w:val="28"/>
        </w:rPr>
      </w:pPr>
      <w:r w:rsidRPr="003A10EC">
        <w:rPr>
          <w:b/>
          <w:i/>
          <w:sz w:val="28"/>
          <w:szCs w:val="28"/>
        </w:rPr>
        <w:t>малого и среднего предпринимательства за 2016 год</w:t>
      </w:r>
    </w:p>
    <w:p w:rsidR="003A10EC" w:rsidRPr="003A10EC" w:rsidRDefault="003A10EC" w:rsidP="003A10EC">
      <w:pPr>
        <w:pStyle w:val="a3"/>
        <w:jc w:val="center"/>
        <w:rPr>
          <w:b/>
          <w:i/>
          <w:sz w:val="28"/>
          <w:szCs w:val="28"/>
        </w:rPr>
      </w:pPr>
    </w:p>
    <w:p w:rsidR="003A10EC" w:rsidRPr="003A10EC" w:rsidRDefault="003A10EC" w:rsidP="003A10EC">
      <w:pPr>
        <w:ind w:firstLine="709"/>
        <w:jc w:val="both"/>
        <w:rPr>
          <w:sz w:val="28"/>
          <w:szCs w:val="28"/>
        </w:rPr>
      </w:pPr>
      <w:r w:rsidRPr="003A10EC">
        <w:rPr>
          <w:sz w:val="28"/>
          <w:szCs w:val="28"/>
        </w:rPr>
        <w:t>Малый бизнес сегодня не просто является неотъемлемой частью рыночной экономики, но и усиливает свое влияние в различных отраслях экономики района с каждым годом.</w:t>
      </w:r>
    </w:p>
    <w:p w:rsidR="003A10EC" w:rsidRPr="003A10EC" w:rsidRDefault="003A10EC" w:rsidP="003A10EC">
      <w:pPr>
        <w:pStyle w:val="a3"/>
        <w:ind w:firstLine="709"/>
        <w:jc w:val="both"/>
        <w:rPr>
          <w:sz w:val="28"/>
          <w:szCs w:val="28"/>
        </w:rPr>
      </w:pPr>
      <w:r w:rsidRPr="003A10EC">
        <w:rPr>
          <w:sz w:val="28"/>
          <w:szCs w:val="28"/>
        </w:rPr>
        <w:t xml:space="preserve">15 ноября 2013 года № 906 постановлением администрации муниципального образования Киреевский район принята муниципальная программа «Развитие малого и среднего предпринимательства в муниципальном образовании Киреевский района  на 2014-2020 годы». </w:t>
      </w:r>
    </w:p>
    <w:p w:rsidR="003A10EC" w:rsidRPr="003A10EC" w:rsidRDefault="003A10EC" w:rsidP="003A10EC">
      <w:pPr>
        <w:pStyle w:val="a3"/>
        <w:ind w:firstLine="709"/>
        <w:jc w:val="both"/>
        <w:rPr>
          <w:sz w:val="28"/>
          <w:szCs w:val="28"/>
        </w:rPr>
      </w:pPr>
      <w:r w:rsidRPr="003A10EC">
        <w:rPr>
          <w:sz w:val="28"/>
          <w:szCs w:val="28"/>
        </w:rPr>
        <w:t xml:space="preserve">В ходе реализации программы планируется достижение следующих результатов: качественное улучшение условий для развития предпринимательской деятельности и здоровой конкурентной среды, развитие инфраструктуры поддержки предпринимательства, рост количества субъектов малого и среднего бизнеса, увеличение объема налоговых поступлений с их стороны в бюджет района и числа рабочих мест на малых и средних предприятиях. </w:t>
      </w:r>
    </w:p>
    <w:p w:rsidR="003A10EC" w:rsidRPr="003A10EC" w:rsidRDefault="003A10EC" w:rsidP="003A10EC">
      <w:pPr>
        <w:ind w:firstLine="851"/>
        <w:jc w:val="both"/>
        <w:rPr>
          <w:sz w:val="28"/>
          <w:szCs w:val="28"/>
        </w:rPr>
      </w:pPr>
      <w:r w:rsidRPr="003A10EC">
        <w:rPr>
          <w:sz w:val="28"/>
          <w:szCs w:val="28"/>
        </w:rPr>
        <w:t xml:space="preserve">На территории муниципального образования Киреевский район действует 487 средних и малых предприятий, среднесписочная численность работающих  составила 7,26 тыс. человек, что выше прошлого года  на 1,5%. </w:t>
      </w:r>
    </w:p>
    <w:p w:rsidR="003A10EC" w:rsidRPr="003A10EC" w:rsidRDefault="003A10EC" w:rsidP="003A10EC">
      <w:pPr>
        <w:ind w:firstLine="720"/>
        <w:jc w:val="both"/>
        <w:rPr>
          <w:sz w:val="28"/>
          <w:szCs w:val="28"/>
        </w:rPr>
      </w:pPr>
      <w:r w:rsidRPr="003A10EC">
        <w:rPr>
          <w:sz w:val="28"/>
          <w:szCs w:val="28"/>
        </w:rPr>
        <w:t>Как следствие, наблюдается рост объемов производства в субъектах малого и среднего предпринимательства. За 2016 год объем отгруженных товаров собственного производства, выполненных работ и услуг субъектами малого бизнеса составил 6173,55 млн. рублей, что на 1,5% выше прошлого года.</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tblPr>
      <w:tblGrid>
        <w:gridCol w:w="730"/>
        <w:gridCol w:w="4820"/>
        <w:gridCol w:w="1417"/>
        <w:gridCol w:w="1276"/>
        <w:gridCol w:w="1437"/>
      </w:tblGrid>
      <w:tr w:rsidR="003A10EC" w:rsidRPr="003A10EC" w:rsidTr="003C64C0">
        <w:trPr>
          <w:trHeight w:val="386"/>
          <w:tblHeader/>
          <w:tblCellSpacing w:w="20" w:type="dxa"/>
        </w:trPr>
        <w:tc>
          <w:tcPr>
            <w:tcW w:w="670" w:type="dxa"/>
            <w:shd w:val="clear" w:color="auto" w:fill="auto"/>
            <w:vAlign w:val="center"/>
          </w:tcPr>
          <w:p w:rsidR="003A10EC" w:rsidRPr="003A10EC" w:rsidRDefault="003A10EC" w:rsidP="00AA21A1">
            <w:pPr>
              <w:pStyle w:val="a3"/>
              <w:jc w:val="center"/>
              <w:rPr>
                <w:sz w:val="28"/>
                <w:szCs w:val="28"/>
              </w:rPr>
            </w:pPr>
            <w:r w:rsidRPr="003A10EC">
              <w:rPr>
                <w:sz w:val="28"/>
                <w:szCs w:val="28"/>
              </w:rPr>
              <w:t xml:space="preserve">№ </w:t>
            </w:r>
            <w:proofErr w:type="spellStart"/>
            <w:proofErr w:type="gramStart"/>
            <w:r w:rsidRPr="003A10EC">
              <w:rPr>
                <w:sz w:val="28"/>
                <w:szCs w:val="28"/>
              </w:rPr>
              <w:t>п</w:t>
            </w:r>
            <w:proofErr w:type="spellEnd"/>
            <w:proofErr w:type="gramEnd"/>
            <w:r w:rsidRPr="003A10EC">
              <w:rPr>
                <w:sz w:val="28"/>
                <w:szCs w:val="28"/>
              </w:rPr>
              <w:t>/</w:t>
            </w:r>
            <w:proofErr w:type="spellStart"/>
            <w:r w:rsidRPr="003A10EC">
              <w:rPr>
                <w:sz w:val="28"/>
                <w:szCs w:val="28"/>
              </w:rPr>
              <w:t>п</w:t>
            </w:r>
            <w:proofErr w:type="spellEnd"/>
          </w:p>
        </w:tc>
        <w:tc>
          <w:tcPr>
            <w:tcW w:w="4780" w:type="dxa"/>
            <w:shd w:val="clear" w:color="auto" w:fill="auto"/>
            <w:vAlign w:val="center"/>
          </w:tcPr>
          <w:p w:rsidR="003A10EC" w:rsidRPr="003A10EC" w:rsidRDefault="003A10EC" w:rsidP="00AA21A1">
            <w:pPr>
              <w:pStyle w:val="a3"/>
              <w:jc w:val="center"/>
              <w:rPr>
                <w:sz w:val="28"/>
                <w:szCs w:val="28"/>
              </w:rPr>
            </w:pPr>
            <w:r w:rsidRPr="003A10EC">
              <w:rPr>
                <w:sz w:val="28"/>
                <w:szCs w:val="28"/>
              </w:rPr>
              <w:t>Показатель</w:t>
            </w:r>
          </w:p>
        </w:tc>
        <w:tc>
          <w:tcPr>
            <w:tcW w:w="1377" w:type="dxa"/>
            <w:shd w:val="clear" w:color="auto" w:fill="auto"/>
            <w:vAlign w:val="center"/>
          </w:tcPr>
          <w:p w:rsidR="003A10EC" w:rsidRPr="003A10EC" w:rsidRDefault="003A10EC" w:rsidP="00AA21A1">
            <w:pPr>
              <w:pStyle w:val="a3"/>
              <w:jc w:val="center"/>
              <w:rPr>
                <w:sz w:val="28"/>
                <w:szCs w:val="28"/>
              </w:rPr>
            </w:pPr>
            <w:proofErr w:type="spellStart"/>
            <w:proofErr w:type="gramStart"/>
            <w:r w:rsidRPr="003A10EC">
              <w:rPr>
                <w:sz w:val="28"/>
                <w:szCs w:val="28"/>
              </w:rPr>
              <w:t>Измере</w:t>
            </w:r>
            <w:r w:rsidR="003C64C0">
              <w:rPr>
                <w:sz w:val="28"/>
                <w:szCs w:val="28"/>
              </w:rPr>
              <w:t>-</w:t>
            </w:r>
            <w:r w:rsidRPr="003A10EC">
              <w:rPr>
                <w:sz w:val="28"/>
                <w:szCs w:val="28"/>
              </w:rPr>
              <w:t>ния</w:t>
            </w:r>
            <w:proofErr w:type="spellEnd"/>
            <w:proofErr w:type="gramEnd"/>
          </w:p>
        </w:tc>
        <w:tc>
          <w:tcPr>
            <w:tcW w:w="1236" w:type="dxa"/>
            <w:shd w:val="clear" w:color="auto" w:fill="auto"/>
            <w:vAlign w:val="center"/>
          </w:tcPr>
          <w:p w:rsidR="003A10EC" w:rsidRPr="003A10EC" w:rsidRDefault="003A10EC" w:rsidP="00AA21A1">
            <w:pPr>
              <w:pStyle w:val="a3"/>
              <w:jc w:val="center"/>
              <w:rPr>
                <w:sz w:val="28"/>
                <w:szCs w:val="28"/>
              </w:rPr>
            </w:pPr>
            <w:r w:rsidRPr="003A10EC">
              <w:rPr>
                <w:sz w:val="28"/>
                <w:szCs w:val="28"/>
              </w:rPr>
              <w:t>2016 год</w:t>
            </w:r>
          </w:p>
        </w:tc>
        <w:tc>
          <w:tcPr>
            <w:tcW w:w="1377" w:type="dxa"/>
            <w:vAlign w:val="center"/>
          </w:tcPr>
          <w:p w:rsidR="003A10EC" w:rsidRPr="003A10EC" w:rsidRDefault="003A10EC" w:rsidP="00AA21A1">
            <w:pPr>
              <w:pStyle w:val="a3"/>
              <w:jc w:val="center"/>
              <w:rPr>
                <w:sz w:val="28"/>
                <w:szCs w:val="28"/>
              </w:rPr>
            </w:pPr>
            <w:r w:rsidRPr="003A10EC">
              <w:rPr>
                <w:sz w:val="28"/>
                <w:szCs w:val="28"/>
              </w:rPr>
              <w:t>в % к</w:t>
            </w:r>
          </w:p>
          <w:p w:rsidR="003A10EC" w:rsidRPr="003A10EC" w:rsidRDefault="003A10EC" w:rsidP="00AA21A1">
            <w:pPr>
              <w:pStyle w:val="a3"/>
              <w:jc w:val="center"/>
              <w:rPr>
                <w:sz w:val="28"/>
                <w:szCs w:val="28"/>
              </w:rPr>
            </w:pPr>
            <w:r w:rsidRPr="003A10EC">
              <w:rPr>
                <w:sz w:val="28"/>
                <w:szCs w:val="28"/>
              </w:rPr>
              <w:t>2015 году</w:t>
            </w:r>
          </w:p>
        </w:tc>
      </w:tr>
      <w:tr w:rsidR="003A10EC" w:rsidRPr="003A10EC" w:rsidTr="003C64C0">
        <w:trPr>
          <w:tblCellSpacing w:w="20" w:type="dxa"/>
        </w:trPr>
        <w:tc>
          <w:tcPr>
            <w:tcW w:w="670" w:type="dxa"/>
            <w:shd w:val="clear" w:color="auto" w:fill="auto"/>
          </w:tcPr>
          <w:p w:rsidR="003A10EC" w:rsidRPr="003A10EC" w:rsidRDefault="003A10EC" w:rsidP="00AA21A1">
            <w:pPr>
              <w:pStyle w:val="a3"/>
              <w:jc w:val="center"/>
              <w:rPr>
                <w:sz w:val="28"/>
                <w:szCs w:val="28"/>
              </w:rPr>
            </w:pPr>
            <w:r w:rsidRPr="003A10EC">
              <w:rPr>
                <w:sz w:val="28"/>
                <w:szCs w:val="28"/>
              </w:rPr>
              <w:t>1.</w:t>
            </w:r>
          </w:p>
        </w:tc>
        <w:tc>
          <w:tcPr>
            <w:tcW w:w="4780" w:type="dxa"/>
            <w:shd w:val="clear" w:color="auto" w:fill="auto"/>
          </w:tcPr>
          <w:p w:rsidR="003A10EC" w:rsidRPr="003A10EC" w:rsidRDefault="003A10EC" w:rsidP="00AA21A1">
            <w:pPr>
              <w:pStyle w:val="a3"/>
              <w:rPr>
                <w:sz w:val="28"/>
                <w:szCs w:val="28"/>
              </w:rPr>
            </w:pPr>
            <w:r w:rsidRPr="003A10EC">
              <w:rPr>
                <w:sz w:val="28"/>
                <w:szCs w:val="28"/>
              </w:rPr>
              <w:t>Количество субъектов малого и среднего предпринимательства (далее СМСП): малых</w:t>
            </w:r>
          </w:p>
        </w:tc>
        <w:tc>
          <w:tcPr>
            <w:tcW w:w="1377" w:type="dxa"/>
            <w:shd w:val="clear" w:color="auto" w:fill="auto"/>
            <w:vAlign w:val="center"/>
          </w:tcPr>
          <w:p w:rsidR="003A10EC" w:rsidRPr="003A10EC" w:rsidRDefault="003A10EC" w:rsidP="00AA21A1">
            <w:pPr>
              <w:pStyle w:val="a3"/>
              <w:jc w:val="center"/>
              <w:rPr>
                <w:sz w:val="28"/>
                <w:szCs w:val="28"/>
              </w:rPr>
            </w:pPr>
            <w:r w:rsidRPr="003A10EC">
              <w:rPr>
                <w:sz w:val="28"/>
                <w:szCs w:val="28"/>
              </w:rPr>
              <w:t>единица</w:t>
            </w:r>
          </w:p>
        </w:tc>
        <w:tc>
          <w:tcPr>
            <w:tcW w:w="1236" w:type="dxa"/>
            <w:shd w:val="clear" w:color="auto" w:fill="auto"/>
            <w:vAlign w:val="center"/>
          </w:tcPr>
          <w:p w:rsidR="003A10EC" w:rsidRPr="003A10EC" w:rsidRDefault="003A10EC" w:rsidP="00AA21A1">
            <w:pPr>
              <w:pStyle w:val="a3"/>
              <w:jc w:val="center"/>
              <w:rPr>
                <w:sz w:val="28"/>
                <w:szCs w:val="28"/>
              </w:rPr>
            </w:pPr>
            <w:r w:rsidRPr="003A10EC">
              <w:rPr>
                <w:sz w:val="28"/>
                <w:szCs w:val="28"/>
              </w:rPr>
              <w:t>474</w:t>
            </w:r>
          </w:p>
        </w:tc>
        <w:tc>
          <w:tcPr>
            <w:tcW w:w="1377" w:type="dxa"/>
            <w:vAlign w:val="center"/>
          </w:tcPr>
          <w:p w:rsidR="003A10EC" w:rsidRPr="003A10EC" w:rsidRDefault="003A10EC" w:rsidP="00AA21A1">
            <w:pPr>
              <w:pStyle w:val="a3"/>
              <w:jc w:val="center"/>
              <w:rPr>
                <w:sz w:val="28"/>
                <w:szCs w:val="28"/>
              </w:rPr>
            </w:pPr>
            <w:r w:rsidRPr="003A10EC">
              <w:rPr>
                <w:sz w:val="28"/>
                <w:szCs w:val="28"/>
              </w:rPr>
              <w:t>102,8</w:t>
            </w:r>
          </w:p>
        </w:tc>
      </w:tr>
      <w:tr w:rsidR="003A10EC" w:rsidRPr="003A10EC" w:rsidTr="003C64C0">
        <w:trPr>
          <w:tblCellSpacing w:w="20" w:type="dxa"/>
        </w:trPr>
        <w:tc>
          <w:tcPr>
            <w:tcW w:w="670" w:type="dxa"/>
            <w:shd w:val="clear" w:color="auto" w:fill="auto"/>
          </w:tcPr>
          <w:p w:rsidR="003A10EC" w:rsidRPr="003A10EC" w:rsidRDefault="003A10EC" w:rsidP="00AA21A1">
            <w:pPr>
              <w:pStyle w:val="a3"/>
              <w:jc w:val="center"/>
              <w:rPr>
                <w:sz w:val="28"/>
                <w:szCs w:val="28"/>
              </w:rPr>
            </w:pPr>
            <w:r w:rsidRPr="003A10EC">
              <w:rPr>
                <w:sz w:val="28"/>
                <w:szCs w:val="28"/>
              </w:rPr>
              <w:t>2.</w:t>
            </w:r>
          </w:p>
        </w:tc>
        <w:tc>
          <w:tcPr>
            <w:tcW w:w="4780" w:type="dxa"/>
            <w:shd w:val="clear" w:color="auto" w:fill="auto"/>
          </w:tcPr>
          <w:p w:rsidR="003A10EC" w:rsidRPr="003A10EC" w:rsidRDefault="003A10EC" w:rsidP="00AA21A1">
            <w:pPr>
              <w:pStyle w:val="a3"/>
              <w:rPr>
                <w:sz w:val="28"/>
                <w:szCs w:val="28"/>
              </w:rPr>
            </w:pPr>
            <w:r w:rsidRPr="003A10EC">
              <w:rPr>
                <w:sz w:val="28"/>
                <w:szCs w:val="28"/>
              </w:rPr>
              <w:t>Количество субъектов малого и среднего предпринимательства (далее СМСП): средних</w:t>
            </w:r>
          </w:p>
        </w:tc>
        <w:tc>
          <w:tcPr>
            <w:tcW w:w="1377" w:type="dxa"/>
            <w:shd w:val="clear" w:color="auto" w:fill="auto"/>
            <w:vAlign w:val="center"/>
          </w:tcPr>
          <w:p w:rsidR="003A10EC" w:rsidRPr="003A10EC" w:rsidRDefault="003A10EC" w:rsidP="00AA21A1">
            <w:pPr>
              <w:pStyle w:val="a3"/>
              <w:jc w:val="center"/>
              <w:rPr>
                <w:sz w:val="28"/>
                <w:szCs w:val="28"/>
              </w:rPr>
            </w:pPr>
            <w:r w:rsidRPr="003A10EC">
              <w:rPr>
                <w:sz w:val="28"/>
                <w:szCs w:val="28"/>
              </w:rPr>
              <w:t>единица</w:t>
            </w:r>
          </w:p>
        </w:tc>
        <w:tc>
          <w:tcPr>
            <w:tcW w:w="1236" w:type="dxa"/>
            <w:shd w:val="clear" w:color="auto" w:fill="auto"/>
            <w:vAlign w:val="center"/>
          </w:tcPr>
          <w:p w:rsidR="003A10EC" w:rsidRPr="003A10EC" w:rsidRDefault="003A10EC" w:rsidP="00AA21A1">
            <w:pPr>
              <w:pStyle w:val="a3"/>
              <w:jc w:val="center"/>
              <w:rPr>
                <w:sz w:val="28"/>
                <w:szCs w:val="28"/>
              </w:rPr>
            </w:pPr>
            <w:r w:rsidRPr="003A10EC">
              <w:rPr>
                <w:sz w:val="28"/>
                <w:szCs w:val="28"/>
              </w:rPr>
              <w:t>13</w:t>
            </w:r>
          </w:p>
        </w:tc>
        <w:tc>
          <w:tcPr>
            <w:tcW w:w="1377" w:type="dxa"/>
            <w:vAlign w:val="center"/>
          </w:tcPr>
          <w:p w:rsidR="003A10EC" w:rsidRPr="003A10EC" w:rsidRDefault="003A10EC" w:rsidP="00AA21A1">
            <w:pPr>
              <w:pStyle w:val="a3"/>
              <w:jc w:val="center"/>
              <w:rPr>
                <w:sz w:val="28"/>
                <w:szCs w:val="28"/>
              </w:rPr>
            </w:pPr>
            <w:r w:rsidRPr="003A10EC">
              <w:rPr>
                <w:sz w:val="28"/>
                <w:szCs w:val="28"/>
              </w:rPr>
              <w:t>108,3</w:t>
            </w:r>
          </w:p>
        </w:tc>
      </w:tr>
      <w:tr w:rsidR="003A10EC" w:rsidRPr="003A10EC" w:rsidTr="003C64C0">
        <w:trPr>
          <w:tblCellSpacing w:w="20" w:type="dxa"/>
        </w:trPr>
        <w:tc>
          <w:tcPr>
            <w:tcW w:w="670" w:type="dxa"/>
            <w:shd w:val="clear" w:color="auto" w:fill="auto"/>
          </w:tcPr>
          <w:p w:rsidR="003A10EC" w:rsidRPr="003A10EC" w:rsidRDefault="003A10EC" w:rsidP="00AA21A1">
            <w:pPr>
              <w:pStyle w:val="a3"/>
              <w:jc w:val="center"/>
              <w:rPr>
                <w:sz w:val="28"/>
                <w:szCs w:val="28"/>
              </w:rPr>
            </w:pPr>
            <w:r w:rsidRPr="003A10EC">
              <w:rPr>
                <w:sz w:val="28"/>
                <w:szCs w:val="28"/>
              </w:rPr>
              <w:t>3.</w:t>
            </w:r>
          </w:p>
        </w:tc>
        <w:tc>
          <w:tcPr>
            <w:tcW w:w="4780" w:type="dxa"/>
            <w:shd w:val="clear" w:color="auto" w:fill="auto"/>
          </w:tcPr>
          <w:p w:rsidR="003A10EC" w:rsidRPr="003A10EC" w:rsidRDefault="003A10EC" w:rsidP="00AA21A1">
            <w:pPr>
              <w:pStyle w:val="a3"/>
              <w:rPr>
                <w:sz w:val="28"/>
                <w:szCs w:val="28"/>
              </w:rPr>
            </w:pPr>
            <w:r w:rsidRPr="003A10EC">
              <w:rPr>
                <w:sz w:val="28"/>
                <w:szCs w:val="28"/>
              </w:rPr>
              <w:t>Среднемесячная заработная плата работников СМСП</w:t>
            </w:r>
          </w:p>
        </w:tc>
        <w:tc>
          <w:tcPr>
            <w:tcW w:w="1377" w:type="dxa"/>
            <w:shd w:val="clear" w:color="auto" w:fill="auto"/>
            <w:vAlign w:val="center"/>
          </w:tcPr>
          <w:p w:rsidR="003A10EC" w:rsidRPr="003A10EC" w:rsidRDefault="003A10EC" w:rsidP="00AA21A1">
            <w:pPr>
              <w:pStyle w:val="a3"/>
              <w:jc w:val="center"/>
              <w:rPr>
                <w:sz w:val="28"/>
                <w:szCs w:val="28"/>
              </w:rPr>
            </w:pPr>
            <w:r w:rsidRPr="003A10EC">
              <w:rPr>
                <w:sz w:val="28"/>
                <w:szCs w:val="28"/>
              </w:rPr>
              <w:t>рубль</w:t>
            </w:r>
          </w:p>
        </w:tc>
        <w:tc>
          <w:tcPr>
            <w:tcW w:w="1236" w:type="dxa"/>
            <w:shd w:val="clear" w:color="auto" w:fill="auto"/>
            <w:vAlign w:val="center"/>
          </w:tcPr>
          <w:p w:rsidR="003A10EC" w:rsidRPr="003A10EC" w:rsidRDefault="003A10EC" w:rsidP="00AA21A1">
            <w:pPr>
              <w:pStyle w:val="a3"/>
              <w:jc w:val="center"/>
              <w:rPr>
                <w:sz w:val="28"/>
                <w:szCs w:val="28"/>
              </w:rPr>
            </w:pPr>
            <w:r w:rsidRPr="003A10EC">
              <w:rPr>
                <w:sz w:val="28"/>
                <w:szCs w:val="28"/>
              </w:rPr>
              <w:t>18123</w:t>
            </w:r>
          </w:p>
        </w:tc>
        <w:tc>
          <w:tcPr>
            <w:tcW w:w="1377" w:type="dxa"/>
            <w:vAlign w:val="center"/>
          </w:tcPr>
          <w:p w:rsidR="003A10EC" w:rsidRPr="003A10EC" w:rsidRDefault="003A10EC" w:rsidP="00AA21A1">
            <w:pPr>
              <w:pStyle w:val="a3"/>
              <w:jc w:val="center"/>
              <w:rPr>
                <w:sz w:val="28"/>
                <w:szCs w:val="28"/>
              </w:rPr>
            </w:pPr>
            <w:r w:rsidRPr="003A10EC">
              <w:rPr>
                <w:sz w:val="28"/>
                <w:szCs w:val="28"/>
              </w:rPr>
              <w:t>103,6</w:t>
            </w:r>
          </w:p>
        </w:tc>
      </w:tr>
      <w:tr w:rsidR="003A10EC" w:rsidRPr="003A10EC" w:rsidTr="003C64C0">
        <w:trPr>
          <w:tblCellSpacing w:w="20" w:type="dxa"/>
        </w:trPr>
        <w:tc>
          <w:tcPr>
            <w:tcW w:w="670" w:type="dxa"/>
            <w:shd w:val="clear" w:color="auto" w:fill="auto"/>
          </w:tcPr>
          <w:p w:rsidR="003A10EC" w:rsidRPr="003A10EC" w:rsidRDefault="003A10EC" w:rsidP="00AA21A1">
            <w:pPr>
              <w:pStyle w:val="a3"/>
              <w:jc w:val="center"/>
              <w:rPr>
                <w:sz w:val="28"/>
                <w:szCs w:val="28"/>
              </w:rPr>
            </w:pPr>
            <w:r w:rsidRPr="003A10EC">
              <w:rPr>
                <w:sz w:val="28"/>
                <w:szCs w:val="28"/>
              </w:rPr>
              <w:t>4.</w:t>
            </w:r>
          </w:p>
        </w:tc>
        <w:tc>
          <w:tcPr>
            <w:tcW w:w="4780" w:type="dxa"/>
            <w:shd w:val="clear" w:color="auto" w:fill="auto"/>
          </w:tcPr>
          <w:p w:rsidR="003A10EC" w:rsidRPr="003A10EC" w:rsidRDefault="003A10EC" w:rsidP="00AA21A1">
            <w:pPr>
              <w:pStyle w:val="a3"/>
              <w:rPr>
                <w:sz w:val="28"/>
                <w:szCs w:val="28"/>
              </w:rPr>
            </w:pPr>
            <w:r w:rsidRPr="003A10EC">
              <w:rPr>
                <w:sz w:val="28"/>
                <w:szCs w:val="28"/>
              </w:rPr>
              <w:t>Оборот СМСП</w:t>
            </w:r>
          </w:p>
        </w:tc>
        <w:tc>
          <w:tcPr>
            <w:tcW w:w="1377" w:type="dxa"/>
            <w:shd w:val="clear" w:color="auto" w:fill="auto"/>
            <w:vAlign w:val="center"/>
          </w:tcPr>
          <w:p w:rsidR="003A10EC" w:rsidRPr="003A10EC" w:rsidRDefault="003A10EC" w:rsidP="00AA21A1">
            <w:pPr>
              <w:pStyle w:val="a3"/>
              <w:jc w:val="center"/>
              <w:rPr>
                <w:sz w:val="28"/>
                <w:szCs w:val="28"/>
              </w:rPr>
            </w:pPr>
            <w:r w:rsidRPr="003A10EC">
              <w:rPr>
                <w:sz w:val="28"/>
                <w:szCs w:val="28"/>
              </w:rPr>
              <w:t>млн. руб.</w:t>
            </w:r>
          </w:p>
        </w:tc>
        <w:tc>
          <w:tcPr>
            <w:tcW w:w="1236" w:type="dxa"/>
            <w:shd w:val="clear" w:color="auto" w:fill="auto"/>
            <w:vAlign w:val="center"/>
          </w:tcPr>
          <w:p w:rsidR="003A10EC" w:rsidRPr="003A10EC" w:rsidRDefault="003A10EC" w:rsidP="00AA21A1">
            <w:pPr>
              <w:pStyle w:val="a3"/>
              <w:jc w:val="center"/>
              <w:rPr>
                <w:sz w:val="28"/>
                <w:szCs w:val="28"/>
              </w:rPr>
            </w:pPr>
            <w:r w:rsidRPr="003A10EC">
              <w:rPr>
                <w:sz w:val="28"/>
                <w:szCs w:val="28"/>
              </w:rPr>
              <w:t>6218,12</w:t>
            </w:r>
          </w:p>
        </w:tc>
        <w:tc>
          <w:tcPr>
            <w:tcW w:w="1377" w:type="dxa"/>
            <w:vAlign w:val="center"/>
          </w:tcPr>
          <w:p w:rsidR="003A10EC" w:rsidRPr="003A10EC" w:rsidRDefault="003A10EC" w:rsidP="00AA21A1">
            <w:pPr>
              <w:pStyle w:val="a3"/>
              <w:jc w:val="center"/>
              <w:rPr>
                <w:sz w:val="28"/>
                <w:szCs w:val="28"/>
              </w:rPr>
            </w:pPr>
            <w:r w:rsidRPr="003A10EC">
              <w:rPr>
                <w:sz w:val="28"/>
                <w:szCs w:val="28"/>
              </w:rPr>
              <w:t>101,3</w:t>
            </w:r>
          </w:p>
        </w:tc>
      </w:tr>
      <w:tr w:rsidR="003A10EC" w:rsidRPr="003A10EC" w:rsidTr="003C64C0">
        <w:trPr>
          <w:tblCellSpacing w:w="20" w:type="dxa"/>
        </w:trPr>
        <w:tc>
          <w:tcPr>
            <w:tcW w:w="670" w:type="dxa"/>
            <w:shd w:val="clear" w:color="auto" w:fill="auto"/>
          </w:tcPr>
          <w:p w:rsidR="003A10EC" w:rsidRPr="003A10EC" w:rsidRDefault="003A10EC" w:rsidP="00AA21A1">
            <w:pPr>
              <w:pStyle w:val="a3"/>
              <w:jc w:val="center"/>
              <w:rPr>
                <w:sz w:val="28"/>
                <w:szCs w:val="28"/>
              </w:rPr>
            </w:pPr>
            <w:r w:rsidRPr="003A10EC">
              <w:rPr>
                <w:sz w:val="28"/>
                <w:szCs w:val="28"/>
              </w:rPr>
              <w:t>5.</w:t>
            </w:r>
          </w:p>
        </w:tc>
        <w:tc>
          <w:tcPr>
            <w:tcW w:w="4780" w:type="dxa"/>
            <w:shd w:val="clear" w:color="auto" w:fill="auto"/>
          </w:tcPr>
          <w:p w:rsidR="003A10EC" w:rsidRDefault="003A10EC" w:rsidP="00AA21A1">
            <w:pPr>
              <w:pStyle w:val="a3"/>
              <w:rPr>
                <w:sz w:val="28"/>
                <w:szCs w:val="28"/>
              </w:rPr>
            </w:pPr>
            <w:r w:rsidRPr="003A10EC">
              <w:rPr>
                <w:sz w:val="28"/>
                <w:szCs w:val="28"/>
              </w:rPr>
              <w:t>Объем отгруженных товаров собственного производства, выполненных работ и услуг собственными силами СМСП (без НДС, акцизов и аналогичных обязательных платежей)</w:t>
            </w:r>
          </w:p>
          <w:p w:rsidR="003C64C0" w:rsidRPr="003A10EC" w:rsidRDefault="003C64C0" w:rsidP="00AA21A1">
            <w:pPr>
              <w:pStyle w:val="a3"/>
              <w:rPr>
                <w:sz w:val="28"/>
                <w:szCs w:val="28"/>
              </w:rPr>
            </w:pPr>
          </w:p>
        </w:tc>
        <w:tc>
          <w:tcPr>
            <w:tcW w:w="1377" w:type="dxa"/>
            <w:shd w:val="clear" w:color="auto" w:fill="auto"/>
            <w:vAlign w:val="center"/>
          </w:tcPr>
          <w:p w:rsidR="003A10EC" w:rsidRPr="003A10EC" w:rsidRDefault="003A10EC" w:rsidP="00AA21A1">
            <w:pPr>
              <w:pStyle w:val="a3"/>
              <w:jc w:val="center"/>
              <w:rPr>
                <w:sz w:val="28"/>
                <w:szCs w:val="28"/>
              </w:rPr>
            </w:pPr>
            <w:r w:rsidRPr="003A10EC">
              <w:rPr>
                <w:sz w:val="28"/>
                <w:szCs w:val="28"/>
              </w:rPr>
              <w:t>млн. рублей</w:t>
            </w:r>
          </w:p>
        </w:tc>
        <w:tc>
          <w:tcPr>
            <w:tcW w:w="1236" w:type="dxa"/>
            <w:shd w:val="clear" w:color="auto" w:fill="auto"/>
            <w:vAlign w:val="center"/>
          </w:tcPr>
          <w:p w:rsidR="003A10EC" w:rsidRPr="003A10EC" w:rsidRDefault="003A10EC" w:rsidP="00AA21A1">
            <w:pPr>
              <w:pStyle w:val="a3"/>
              <w:jc w:val="center"/>
              <w:rPr>
                <w:sz w:val="28"/>
                <w:szCs w:val="28"/>
              </w:rPr>
            </w:pPr>
            <w:r w:rsidRPr="003A10EC">
              <w:rPr>
                <w:sz w:val="28"/>
                <w:szCs w:val="28"/>
              </w:rPr>
              <w:t>6173,55</w:t>
            </w:r>
          </w:p>
        </w:tc>
        <w:tc>
          <w:tcPr>
            <w:tcW w:w="1377" w:type="dxa"/>
            <w:vAlign w:val="center"/>
          </w:tcPr>
          <w:p w:rsidR="003A10EC" w:rsidRPr="003A10EC" w:rsidRDefault="003A10EC" w:rsidP="00AA21A1">
            <w:pPr>
              <w:pStyle w:val="a3"/>
              <w:jc w:val="center"/>
              <w:rPr>
                <w:sz w:val="28"/>
                <w:szCs w:val="28"/>
              </w:rPr>
            </w:pPr>
            <w:r w:rsidRPr="003A10EC">
              <w:rPr>
                <w:sz w:val="28"/>
                <w:szCs w:val="28"/>
              </w:rPr>
              <w:t>101,5</w:t>
            </w:r>
          </w:p>
        </w:tc>
      </w:tr>
      <w:tr w:rsidR="003A10EC" w:rsidRPr="003A10EC" w:rsidTr="003C64C0">
        <w:trPr>
          <w:tblCellSpacing w:w="20" w:type="dxa"/>
        </w:trPr>
        <w:tc>
          <w:tcPr>
            <w:tcW w:w="670" w:type="dxa"/>
            <w:shd w:val="clear" w:color="auto" w:fill="auto"/>
          </w:tcPr>
          <w:p w:rsidR="003A10EC" w:rsidRPr="003A10EC" w:rsidRDefault="003A10EC" w:rsidP="00AA21A1">
            <w:pPr>
              <w:pStyle w:val="a3"/>
              <w:jc w:val="center"/>
              <w:rPr>
                <w:sz w:val="28"/>
                <w:szCs w:val="28"/>
              </w:rPr>
            </w:pPr>
            <w:r w:rsidRPr="003A10EC">
              <w:rPr>
                <w:sz w:val="28"/>
                <w:szCs w:val="28"/>
              </w:rPr>
              <w:lastRenderedPageBreak/>
              <w:t>6.</w:t>
            </w:r>
          </w:p>
        </w:tc>
        <w:tc>
          <w:tcPr>
            <w:tcW w:w="4780" w:type="dxa"/>
            <w:shd w:val="clear" w:color="auto" w:fill="auto"/>
          </w:tcPr>
          <w:p w:rsidR="003A10EC" w:rsidRPr="003A10EC" w:rsidRDefault="003A10EC" w:rsidP="00AA21A1">
            <w:pPr>
              <w:pStyle w:val="a3"/>
              <w:rPr>
                <w:sz w:val="28"/>
                <w:szCs w:val="28"/>
              </w:rPr>
            </w:pPr>
            <w:r w:rsidRPr="003A10EC">
              <w:rPr>
                <w:sz w:val="28"/>
                <w:szCs w:val="28"/>
              </w:rPr>
              <w:t>Инвестиции в основной капитал СМСП</w:t>
            </w:r>
          </w:p>
        </w:tc>
        <w:tc>
          <w:tcPr>
            <w:tcW w:w="1377" w:type="dxa"/>
            <w:shd w:val="clear" w:color="auto" w:fill="auto"/>
            <w:vAlign w:val="center"/>
          </w:tcPr>
          <w:p w:rsidR="003A10EC" w:rsidRPr="003A10EC" w:rsidRDefault="003A10EC" w:rsidP="00AA21A1">
            <w:pPr>
              <w:pStyle w:val="a3"/>
              <w:jc w:val="center"/>
              <w:rPr>
                <w:sz w:val="28"/>
                <w:szCs w:val="28"/>
              </w:rPr>
            </w:pPr>
            <w:r w:rsidRPr="003A10EC">
              <w:rPr>
                <w:sz w:val="28"/>
                <w:szCs w:val="28"/>
              </w:rPr>
              <w:t>млн. руб.</w:t>
            </w:r>
          </w:p>
        </w:tc>
        <w:tc>
          <w:tcPr>
            <w:tcW w:w="1236" w:type="dxa"/>
            <w:shd w:val="clear" w:color="auto" w:fill="auto"/>
            <w:vAlign w:val="center"/>
          </w:tcPr>
          <w:p w:rsidR="003A10EC" w:rsidRPr="003A10EC" w:rsidRDefault="003A10EC" w:rsidP="00AA21A1">
            <w:pPr>
              <w:pStyle w:val="a3"/>
              <w:jc w:val="center"/>
              <w:rPr>
                <w:sz w:val="28"/>
                <w:szCs w:val="28"/>
              </w:rPr>
            </w:pPr>
            <w:r w:rsidRPr="003A10EC">
              <w:rPr>
                <w:sz w:val="28"/>
                <w:szCs w:val="28"/>
              </w:rPr>
              <w:t>559,26</w:t>
            </w:r>
          </w:p>
        </w:tc>
        <w:tc>
          <w:tcPr>
            <w:tcW w:w="1377" w:type="dxa"/>
            <w:vAlign w:val="center"/>
          </w:tcPr>
          <w:p w:rsidR="003A10EC" w:rsidRPr="003A10EC" w:rsidRDefault="003A10EC" w:rsidP="00AA21A1">
            <w:pPr>
              <w:pStyle w:val="a3"/>
              <w:jc w:val="center"/>
              <w:rPr>
                <w:sz w:val="28"/>
                <w:szCs w:val="28"/>
              </w:rPr>
            </w:pPr>
            <w:r w:rsidRPr="003A10EC">
              <w:rPr>
                <w:sz w:val="28"/>
                <w:szCs w:val="28"/>
              </w:rPr>
              <w:t>100,4</w:t>
            </w:r>
          </w:p>
        </w:tc>
      </w:tr>
      <w:tr w:rsidR="003A10EC" w:rsidRPr="003A10EC" w:rsidTr="003C64C0">
        <w:trPr>
          <w:tblCellSpacing w:w="20" w:type="dxa"/>
        </w:trPr>
        <w:tc>
          <w:tcPr>
            <w:tcW w:w="670" w:type="dxa"/>
            <w:shd w:val="clear" w:color="auto" w:fill="auto"/>
          </w:tcPr>
          <w:p w:rsidR="003A10EC" w:rsidRPr="003A10EC" w:rsidRDefault="003A10EC" w:rsidP="00AA21A1">
            <w:pPr>
              <w:pStyle w:val="a3"/>
              <w:jc w:val="center"/>
              <w:rPr>
                <w:sz w:val="28"/>
                <w:szCs w:val="28"/>
              </w:rPr>
            </w:pPr>
            <w:r w:rsidRPr="003A10EC">
              <w:rPr>
                <w:sz w:val="28"/>
                <w:szCs w:val="28"/>
              </w:rPr>
              <w:t>7.</w:t>
            </w:r>
          </w:p>
        </w:tc>
        <w:tc>
          <w:tcPr>
            <w:tcW w:w="4780" w:type="dxa"/>
            <w:shd w:val="clear" w:color="auto" w:fill="auto"/>
          </w:tcPr>
          <w:p w:rsidR="003A10EC" w:rsidRPr="003A10EC" w:rsidRDefault="003A10EC" w:rsidP="00AA21A1">
            <w:pPr>
              <w:pStyle w:val="a3"/>
              <w:rPr>
                <w:sz w:val="28"/>
                <w:szCs w:val="28"/>
              </w:rPr>
            </w:pPr>
            <w:r w:rsidRPr="003A10EC">
              <w:rPr>
                <w:sz w:val="28"/>
                <w:szCs w:val="28"/>
              </w:rPr>
              <w:t>Объем налоговых отчислений СМСП в консолидированный бюджет муниципального образования</w:t>
            </w:r>
          </w:p>
        </w:tc>
        <w:tc>
          <w:tcPr>
            <w:tcW w:w="1377" w:type="dxa"/>
            <w:shd w:val="clear" w:color="auto" w:fill="auto"/>
            <w:vAlign w:val="center"/>
          </w:tcPr>
          <w:p w:rsidR="003A10EC" w:rsidRPr="003A10EC" w:rsidRDefault="003A10EC" w:rsidP="00AA21A1">
            <w:pPr>
              <w:pStyle w:val="a3"/>
              <w:jc w:val="center"/>
              <w:rPr>
                <w:sz w:val="28"/>
                <w:szCs w:val="28"/>
              </w:rPr>
            </w:pPr>
            <w:r w:rsidRPr="003A10EC">
              <w:rPr>
                <w:sz w:val="28"/>
                <w:szCs w:val="28"/>
              </w:rPr>
              <w:t>млн. рублей</w:t>
            </w:r>
          </w:p>
        </w:tc>
        <w:tc>
          <w:tcPr>
            <w:tcW w:w="1236" w:type="dxa"/>
            <w:shd w:val="clear" w:color="auto" w:fill="auto"/>
            <w:vAlign w:val="center"/>
          </w:tcPr>
          <w:p w:rsidR="003A10EC" w:rsidRPr="003A10EC" w:rsidRDefault="003A10EC" w:rsidP="00AA21A1">
            <w:pPr>
              <w:pStyle w:val="a3"/>
              <w:jc w:val="center"/>
              <w:rPr>
                <w:sz w:val="28"/>
                <w:szCs w:val="28"/>
              </w:rPr>
            </w:pPr>
            <w:r w:rsidRPr="003A10EC">
              <w:rPr>
                <w:sz w:val="28"/>
                <w:szCs w:val="28"/>
              </w:rPr>
              <w:t>176011</w:t>
            </w:r>
          </w:p>
        </w:tc>
        <w:tc>
          <w:tcPr>
            <w:tcW w:w="1377" w:type="dxa"/>
            <w:vAlign w:val="center"/>
          </w:tcPr>
          <w:p w:rsidR="003A10EC" w:rsidRPr="003A10EC" w:rsidRDefault="003A10EC" w:rsidP="00AA21A1">
            <w:pPr>
              <w:pStyle w:val="a3"/>
              <w:jc w:val="center"/>
              <w:rPr>
                <w:sz w:val="28"/>
                <w:szCs w:val="28"/>
              </w:rPr>
            </w:pPr>
            <w:r w:rsidRPr="003A10EC">
              <w:rPr>
                <w:sz w:val="28"/>
                <w:szCs w:val="28"/>
              </w:rPr>
              <w:t>103,2</w:t>
            </w:r>
          </w:p>
        </w:tc>
      </w:tr>
    </w:tbl>
    <w:p w:rsidR="003A10EC" w:rsidRPr="003A10EC" w:rsidRDefault="003A10EC" w:rsidP="003A10EC">
      <w:pPr>
        <w:ind w:firstLine="720"/>
        <w:jc w:val="both"/>
        <w:rPr>
          <w:color w:val="FF0000"/>
          <w:sz w:val="28"/>
          <w:szCs w:val="28"/>
        </w:rPr>
      </w:pPr>
    </w:p>
    <w:p w:rsidR="003A10EC" w:rsidRPr="003A10EC" w:rsidRDefault="003A10EC" w:rsidP="003A10EC">
      <w:pPr>
        <w:ind w:firstLine="720"/>
        <w:jc w:val="both"/>
        <w:rPr>
          <w:sz w:val="28"/>
          <w:szCs w:val="28"/>
        </w:rPr>
      </w:pPr>
      <w:r w:rsidRPr="003A10EC">
        <w:rPr>
          <w:sz w:val="28"/>
          <w:szCs w:val="28"/>
        </w:rPr>
        <w:t>В последние   годы в результате проводимых реформ широкое распространение получила такая составляющая малого бизнеса, как индивидуальное предпринимательство без образования юридического лица. На территории муниципального образования Киреевский район их насчитывается    1656 человек, численность наемного труда у предпринимателей составляет -  3643 человек.</w:t>
      </w:r>
    </w:p>
    <w:p w:rsidR="003A10EC" w:rsidRPr="003A10EC" w:rsidRDefault="003A10EC" w:rsidP="003A10EC">
      <w:pPr>
        <w:ind w:firstLine="720"/>
        <w:jc w:val="both"/>
        <w:rPr>
          <w:sz w:val="28"/>
          <w:szCs w:val="28"/>
        </w:rPr>
      </w:pPr>
      <w:r w:rsidRPr="003A10EC">
        <w:rPr>
          <w:sz w:val="28"/>
          <w:szCs w:val="28"/>
        </w:rPr>
        <w:t>Индивидуальные предприниматели в основном занимаются торговлей и бытовым обслуживанием населения – около 70%, остальные 30% - производством промышленной продукции, строительством, перевозкой грузов и пассажиров, оказанием медицинских и юридических услуг.</w:t>
      </w:r>
    </w:p>
    <w:p w:rsidR="003A10EC" w:rsidRPr="003A10EC" w:rsidRDefault="003A10EC" w:rsidP="003A10EC">
      <w:pPr>
        <w:pStyle w:val="a3"/>
        <w:ind w:firstLine="709"/>
        <w:jc w:val="both"/>
        <w:rPr>
          <w:sz w:val="28"/>
          <w:szCs w:val="28"/>
        </w:rPr>
      </w:pPr>
      <w:r w:rsidRPr="003A10EC">
        <w:rPr>
          <w:sz w:val="28"/>
          <w:szCs w:val="28"/>
        </w:rPr>
        <w:t xml:space="preserve">В течение 2016 года  открыли предпринимательскую деятельность 313 индивидуальных предпринимателей, и  зарегистрировалось 47 организаций.  Было создано 1139 рабочих мест, в том числе в сфере малого и среднего предпринимательства создано 840 новых рабочих мест. </w:t>
      </w:r>
    </w:p>
    <w:p w:rsidR="003A10EC" w:rsidRPr="003A10EC" w:rsidRDefault="003A10EC" w:rsidP="003A10EC">
      <w:pPr>
        <w:ind w:firstLine="720"/>
        <w:jc w:val="both"/>
        <w:rPr>
          <w:sz w:val="28"/>
          <w:szCs w:val="28"/>
        </w:rPr>
      </w:pPr>
      <w:r w:rsidRPr="003A10EC">
        <w:rPr>
          <w:sz w:val="28"/>
          <w:szCs w:val="28"/>
        </w:rPr>
        <w:t>От субъектов малого предпринимательства в бюджеты всех уровней поступления формируются в основном  за счет поступлений трех  налогов:</w:t>
      </w:r>
    </w:p>
    <w:p w:rsidR="003A10EC" w:rsidRPr="003A10EC" w:rsidRDefault="003A10EC" w:rsidP="003A10EC">
      <w:pPr>
        <w:pStyle w:val="a5"/>
        <w:numPr>
          <w:ilvl w:val="0"/>
          <w:numId w:val="1"/>
        </w:numPr>
        <w:tabs>
          <w:tab w:val="clear" w:pos="720"/>
          <w:tab w:val="num" w:pos="0"/>
          <w:tab w:val="left" w:pos="851"/>
        </w:tabs>
        <w:ind w:left="0" w:firstLine="540"/>
        <w:jc w:val="both"/>
        <w:rPr>
          <w:sz w:val="28"/>
          <w:szCs w:val="28"/>
        </w:rPr>
      </w:pPr>
      <w:r w:rsidRPr="003A10EC">
        <w:rPr>
          <w:sz w:val="28"/>
          <w:szCs w:val="28"/>
        </w:rPr>
        <w:t>сумма единого налога, взимаемого в связи с применением упрощенной системы налогообложения – 11,85 млн. рублей, что составило 103,04%  к уровню прошлого  года;</w:t>
      </w:r>
    </w:p>
    <w:p w:rsidR="003A10EC" w:rsidRPr="003A10EC" w:rsidRDefault="003A10EC" w:rsidP="003A10EC">
      <w:pPr>
        <w:numPr>
          <w:ilvl w:val="0"/>
          <w:numId w:val="1"/>
        </w:numPr>
        <w:tabs>
          <w:tab w:val="clear" w:pos="720"/>
          <w:tab w:val="num" w:pos="0"/>
        </w:tabs>
        <w:ind w:left="0" w:firstLine="540"/>
        <w:jc w:val="both"/>
        <w:rPr>
          <w:sz w:val="28"/>
          <w:szCs w:val="28"/>
        </w:rPr>
      </w:pPr>
      <w:r w:rsidRPr="003A10EC">
        <w:rPr>
          <w:sz w:val="28"/>
          <w:szCs w:val="28"/>
        </w:rPr>
        <w:t xml:space="preserve">  сумма единого налога на вмененный доход для отдельных видов деятельности – 23,1 млн. рублей, что на 21,7% меньше в сравнении с 2015 годом;</w:t>
      </w:r>
    </w:p>
    <w:p w:rsidR="003A10EC" w:rsidRPr="003A10EC" w:rsidRDefault="003A10EC" w:rsidP="003A10EC">
      <w:pPr>
        <w:pStyle w:val="a5"/>
        <w:numPr>
          <w:ilvl w:val="0"/>
          <w:numId w:val="2"/>
        </w:numPr>
        <w:ind w:left="0" w:firstLine="567"/>
        <w:jc w:val="both"/>
        <w:rPr>
          <w:sz w:val="28"/>
          <w:szCs w:val="28"/>
        </w:rPr>
      </w:pPr>
      <w:r w:rsidRPr="003A10EC">
        <w:rPr>
          <w:sz w:val="28"/>
          <w:szCs w:val="28"/>
        </w:rPr>
        <w:t xml:space="preserve"> сумма единого сельскохозяйственного налога – 5,03 млн. рублей, что на 29%  больше чем  в 2015 году.</w:t>
      </w:r>
    </w:p>
    <w:p w:rsidR="003A10EC" w:rsidRPr="003A10EC" w:rsidRDefault="003A10EC" w:rsidP="003A10EC">
      <w:pPr>
        <w:pStyle w:val="a5"/>
        <w:ind w:left="0"/>
        <w:jc w:val="both"/>
        <w:rPr>
          <w:sz w:val="28"/>
          <w:szCs w:val="28"/>
        </w:rPr>
      </w:pPr>
    </w:p>
    <w:p w:rsidR="003A10EC" w:rsidRPr="003A10EC" w:rsidRDefault="003A10EC" w:rsidP="003A10EC">
      <w:pPr>
        <w:tabs>
          <w:tab w:val="left" w:pos="993"/>
        </w:tabs>
        <w:ind w:firstLine="709"/>
        <w:jc w:val="both"/>
        <w:rPr>
          <w:color w:val="FF0000"/>
          <w:sz w:val="28"/>
          <w:szCs w:val="28"/>
        </w:rPr>
      </w:pPr>
      <w:r w:rsidRPr="003A10EC">
        <w:rPr>
          <w:noProof/>
          <w:color w:val="FF0000"/>
          <w:sz w:val="28"/>
          <w:szCs w:val="28"/>
        </w:rPr>
        <w:drawing>
          <wp:inline distT="0" distB="0" distL="0" distR="0">
            <wp:extent cx="5305425" cy="216217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A10EC" w:rsidRPr="003A10EC" w:rsidRDefault="003A10EC" w:rsidP="003A10EC">
      <w:pPr>
        <w:tabs>
          <w:tab w:val="left" w:pos="993"/>
        </w:tabs>
        <w:ind w:firstLine="709"/>
        <w:jc w:val="both"/>
        <w:rPr>
          <w:sz w:val="28"/>
          <w:szCs w:val="28"/>
        </w:rPr>
      </w:pPr>
      <w:r w:rsidRPr="003A10EC">
        <w:rPr>
          <w:sz w:val="28"/>
          <w:szCs w:val="28"/>
        </w:rPr>
        <w:t xml:space="preserve">Следует отметить, что кроме налогов, в бюджет муниципального образования дополнительно поступают денежные средства в виде арендной платы за </w:t>
      </w:r>
      <w:proofErr w:type="gramStart"/>
      <w:r w:rsidRPr="003A10EC">
        <w:rPr>
          <w:sz w:val="28"/>
          <w:szCs w:val="28"/>
        </w:rPr>
        <w:t>арендуемое</w:t>
      </w:r>
      <w:proofErr w:type="gramEnd"/>
      <w:r w:rsidRPr="003A10EC">
        <w:rPr>
          <w:sz w:val="28"/>
          <w:szCs w:val="28"/>
        </w:rPr>
        <w:t xml:space="preserve"> субъектами малого и среднего предпринимательства </w:t>
      </w:r>
      <w:r w:rsidRPr="003A10EC">
        <w:rPr>
          <w:sz w:val="28"/>
          <w:szCs w:val="28"/>
        </w:rPr>
        <w:lastRenderedPageBreak/>
        <w:t>муниципального имущества и земельные участки; средства от продажи объектов недвижимости и земельных участков. В 2016 году вышеназванные поступления составили  23,12 млн. рублей, что составляет 95,54 % к уровню 2015 года</w:t>
      </w:r>
    </w:p>
    <w:p w:rsidR="003A10EC" w:rsidRPr="003A10EC" w:rsidRDefault="003A10EC" w:rsidP="003A10EC">
      <w:pPr>
        <w:pStyle w:val="a3"/>
        <w:ind w:firstLine="709"/>
        <w:jc w:val="both"/>
        <w:rPr>
          <w:sz w:val="28"/>
          <w:szCs w:val="28"/>
        </w:rPr>
      </w:pPr>
      <w:r w:rsidRPr="003A10EC">
        <w:rPr>
          <w:sz w:val="28"/>
          <w:szCs w:val="28"/>
        </w:rPr>
        <w:t xml:space="preserve">В 2016 году администрацией проводились мероприятия, направленные на развитие предпринимательской инициативы, использование творческих способностей, умений и навыков, различные конкурсы, в которых активно участвовали начинающие предприниматели. </w:t>
      </w:r>
    </w:p>
    <w:p w:rsidR="003A10EC" w:rsidRPr="003A10EC" w:rsidRDefault="003A10EC" w:rsidP="003A10EC">
      <w:pPr>
        <w:pStyle w:val="a3"/>
        <w:ind w:firstLine="709"/>
        <w:jc w:val="both"/>
        <w:rPr>
          <w:sz w:val="28"/>
          <w:szCs w:val="28"/>
        </w:rPr>
      </w:pPr>
      <w:r w:rsidRPr="003A10EC">
        <w:rPr>
          <w:sz w:val="28"/>
          <w:szCs w:val="28"/>
        </w:rPr>
        <w:t>В течение 2016 года администрацией привлекались субъекты малого и среднего предпринимательства к выполнению муниципальных заказов на производство продукции, выполнения работ (услуг). Проведено торгов (лотов) и запросов котировок среди субъектов– 68. Общее количество заявок, поданных на процедуры, проведенные специально для субъектов– 152. Количество заявок участников, выигравших торги (лоты), запрос котировок составило 53 на сумму 43498,84 тыс. рублей.</w:t>
      </w:r>
    </w:p>
    <w:p w:rsidR="003A10EC" w:rsidRPr="003A10EC" w:rsidRDefault="003A10EC" w:rsidP="003A10EC">
      <w:pPr>
        <w:pStyle w:val="a3"/>
        <w:ind w:firstLine="709"/>
        <w:jc w:val="both"/>
        <w:rPr>
          <w:sz w:val="28"/>
          <w:szCs w:val="28"/>
        </w:rPr>
      </w:pPr>
      <w:r w:rsidRPr="003A10EC">
        <w:rPr>
          <w:sz w:val="28"/>
          <w:szCs w:val="28"/>
        </w:rPr>
        <w:t xml:space="preserve">Большинство субъектов малого и среднего предпринимательства заключают прямые договора с заказчиками на прямую, в связи с тем, что цена контрактов не превышает суммы, установленной Центральным банком РФ предельного размера расчетов наличными деньгами в РФ между юридическими лицами по одной сделке.                                                                                                     </w:t>
      </w:r>
    </w:p>
    <w:p w:rsidR="003A10EC" w:rsidRPr="003A10EC" w:rsidRDefault="003A10EC" w:rsidP="003A10EC">
      <w:pPr>
        <w:ind w:firstLine="709"/>
        <w:jc w:val="both"/>
        <w:rPr>
          <w:sz w:val="28"/>
          <w:szCs w:val="28"/>
        </w:rPr>
      </w:pPr>
      <w:r w:rsidRPr="003A10EC">
        <w:rPr>
          <w:sz w:val="28"/>
          <w:szCs w:val="28"/>
        </w:rPr>
        <w:t>Администрацией района ведется реестр субъектов малого и среднего предпринимательства – получателей поддержки. За 2016 год в реестр субъектов малого и среднего предпринимательства – получателей поддержки включено – 63 субъектов малого и среднего предпринимательства, в том числе: финансовая поддержка оказана 4 субъектам; информационную получили 50; имущественную -9 субъектов малого и среднего предпринимательства.</w:t>
      </w:r>
    </w:p>
    <w:p w:rsidR="003A10EC" w:rsidRPr="003A10EC" w:rsidRDefault="003A10EC" w:rsidP="003A10EC">
      <w:pPr>
        <w:ind w:firstLine="709"/>
        <w:jc w:val="both"/>
        <w:rPr>
          <w:sz w:val="28"/>
          <w:szCs w:val="28"/>
        </w:rPr>
      </w:pPr>
      <w:r w:rsidRPr="003A10EC">
        <w:rPr>
          <w:sz w:val="28"/>
          <w:szCs w:val="28"/>
        </w:rPr>
        <w:t xml:space="preserve">Одним из мероприятий действующей целевой  программы «Развитие малого и среднего предпринимательства в муниципальном образовании Киреевский района на  2014-2020 годы» является информированность субъектов малого и среднего предпринимательства. </w:t>
      </w:r>
    </w:p>
    <w:p w:rsidR="003A10EC" w:rsidRPr="003A10EC" w:rsidRDefault="003A10EC" w:rsidP="003A10EC">
      <w:pPr>
        <w:ind w:firstLine="709"/>
        <w:jc w:val="both"/>
        <w:rPr>
          <w:sz w:val="28"/>
          <w:szCs w:val="28"/>
        </w:rPr>
      </w:pPr>
      <w:r w:rsidRPr="003A10EC">
        <w:rPr>
          <w:sz w:val="28"/>
          <w:szCs w:val="28"/>
        </w:rPr>
        <w:t>В целях  повышения уровня информированности субъектов малого и среднего предпринимательства за истекший период 2016 года администрацией район проведены:</w:t>
      </w:r>
    </w:p>
    <w:p w:rsidR="003A10EC" w:rsidRPr="003A10EC" w:rsidRDefault="003A10EC" w:rsidP="003A10EC">
      <w:pPr>
        <w:tabs>
          <w:tab w:val="left" w:pos="5966"/>
        </w:tabs>
        <w:ind w:firstLine="709"/>
        <w:jc w:val="both"/>
        <w:rPr>
          <w:sz w:val="28"/>
          <w:szCs w:val="28"/>
        </w:rPr>
      </w:pPr>
      <w:r w:rsidRPr="003A10EC">
        <w:rPr>
          <w:sz w:val="28"/>
          <w:szCs w:val="28"/>
        </w:rPr>
        <w:t xml:space="preserve">- семинар для организаций, осуществляющих розничную продажу алкогольной и спиртосодержащей продукции (в том числе пива) и индивидуальных предпринимателей, осуществляющих закупку пива и пивных напитков, сидра, </w:t>
      </w:r>
      <w:proofErr w:type="spellStart"/>
      <w:r w:rsidRPr="003A10EC">
        <w:rPr>
          <w:sz w:val="28"/>
          <w:szCs w:val="28"/>
        </w:rPr>
        <w:t>пуаре</w:t>
      </w:r>
      <w:proofErr w:type="spellEnd"/>
      <w:r w:rsidRPr="003A10EC">
        <w:rPr>
          <w:sz w:val="28"/>
          <w:szCs w:val="28"/>
        </w:rPr>
        <w:t>, медовухи с целью дальнейшей ее розничной продажи;</w:t>
      </w:r>
    </w:p>
    <w:p w:rsidR="003A10EC" w:rsidRPr="003A10EC" w:rsidRDefault="003A10EC" w:rsidP="003A10EC">
      <w:pPr>
        <w:tabs>
          <w:tab w:val="left" w:pos="5966"/>
        </w:tabs>
        <w:ind w:firstLine="709"/>
        <w:jc w:val="both"/>
        <w:rPr>
          <w:sz w:val="28"/>
          <w:szCs w:val="28"/>
        </w:rPr>
      </w:pPr>
      <w:r w:rsidRPr="003A10EC">
        <w:rPr>
          <w:sz w:val="28"/>
          <w:szCs w:val="28"/>
        </w:rPr>
        <w:t>- семинар «Новое в налоговом законодательстве»;</w:t>
      </w:r>
    </w:p>
    <w:p w:rsidR="003A10EC" w:rsidRPr="003A10EC" w:rsidRDefault="003A10EC" w:rsidP="003A10EC">
      <w:pPr>
        <w:tabs>
          <w:tab w:val="left" w:pos="993"/>
        </w:tabs>
        <w:ind w:right="-108" w:firstLine="709"/>
        <w:jc w:val="both"/>
        <w:rPr>
          <w:sz w:val="28"/>
          <w:szCs w:val="28"/>
        </w:rPr>
      </w:pPr>
      <w:r w:rsidRPr="003A10EC">
        <w:rPr>
          <w:sz w:val="28"/>
          <w:szCs w:val="28"/>
        </w:rPr>
        <w:t>- 2 семинара «Охрана труда».</w:t>
      </w:r>
    </w:p>
    <w:p w:rsidR="003A10EC" w:rsidRPr="003A10EC" w:rsidRDefault="003A10EC" w:rsidP="003A10EC">
      <w:pPr>
        <w:tabs>
          <w:tab w:val="left" w:pos="993"/>
        </w:tabs>
        <w:ind w:firstLine="709"/>
        <w:jc w:val="both"/>
        <w:rPr>
          <w:color w:val="FF0000"/>
          <w:sz w:val="28"/>
          <w:szCs w:val="28"/>
        </w:rPr>
      </w:pPr>
      <w:r w:rsidRPr="003A10EC">
        <w:rPr>
          <w:sz w:val="28"/>
          <w:szCs w:val="28"/>
        </w:rPr>
        <w:t>Сайт муниципального образования наполнен информационными материалами по мерам государственной поддержки для субъектов малого и среднего бизнеса</w:t>
      </w:r>
    </w:p>
    <w:p w:rsidR="003A10EC" w:rsidRPr="003A10EC" w:rsidRDefault="003A10EC" w:rsidP="003A10EC">
      <w:pPr>
        <w:tabs>
          <w:tab w:val="left" w:pos="993"/>
        </w:tabs>
        <w:ind w:right="-108" w:firstLine="709"/>
        <w:jc w:val="both"/>
        <w:rPr>
          <w:sz w:val="28"/>
          <w:szCs w:val="28"/>
        </w:rPr>
      </w:pPr>
      <w:r w:rsidRPr="003A10EC">
        <w:rPr>
          <w:sz w:val="28"/>
          <w:szCs w:val="28"/>
        </w:rPr>
        <w:t xml:space="preserve">Администрация приняла участие в областном конкурсе среди муниципальных  образований Тульской области, бюджетам которых предоставляются субсидии для реализации муниципальных программ развития субъектов малого и среднего предпринимательства. </w:t>
      </w:r>
    </w:p>
    <w:p w:rsidR="003A10EC" w:rsidRPr="003A10EC" w:rsidRDefault="003A10EC" w:rsidP="003A10EC">
      <w:pPr>
        <w:pStyle w:val="a3"/>
        <w:ind w:firstLine="709"/>
        <w:jc w:val="both"/>
        <w:rPr>
          <w:sz w:val="28"/>
          <w:szCs w:val="28"/>
        </w:rPr>
      </w:pPr>
      <w:r w:rsidRPr="003A10EC">
        <w:rPr>
          <w:sz w:val="28"/>
          <w:szCs w:val="28"/>
        </w:rPr>
        <w:lastRenderedPageBreak/>
        <w:t>Заявка администрации признана победителем и получила право на субсидию из областного бюджета – 1197,86 тыс. рублей</w:t>
      </w:r>
    </w:p>
    <w:p w:rsidR="003A10EC" w:rsidRPr="003A10EC" w:rsidRDefault="003A10EC" w:rsidP="003A10EC">
      <w:pPr>
        <w:pStyle w:val="a3"/>
        <w:ind w:firstLine="709"/>
        <w:jc w:val="both"/>
        <w:rPr>
          <w:sz w:val="28"/>
          <w:szCs w:val="28"/>
        </w:rPr>
      </w:pPr>
      <w:r w:rsidRPr="003A10EC">
        <w:rPr>
          <w:sz w:val="28"/>
          <w:szCs w:val="28"/>
        </w:rPr>
        <w:t>Общий  объем финансирования программы в 2016 году составил 1392,86 тыс. рублей.</w:t>
      </w:r>
    </w:p>
    <w:p w:rsidR="003A10EC" w:rsidRPr="003A10EC" w:rsidRDefault="003A10EC" w:rsidP="003A10EC">
      <w:pPr>
        <w:ind w:firstLine="709"/>
        <w:jc w:val="both"/>
        <w:rPr>
          <w:sz w:val="28"/>
          <w:szCs w:val="28"/>
        </w:rPr>
      </w:pPr>
      <w:r w:rsidRPr="003A10EC">
        <w:rPr>
          <w:sz w:val="28"/>
          <w:szCs w:val="28"/>
        </w:rPr>
        <w:t>В районном  открытом конкурсе по предоставлению грантов на развитие собственного бизнеса начинающим предпринимателям участвовали 11 субъектов малого и среднего предпринимательства. Решением конкурсной комиссии победителями признаны 4 СМП: ООО «</w:t>
      </w:r>
      <w:proofErr w:type="spellStart"/>
      <w:r w:rsidRPr="003A10EC">
        <w:rPr>
          <w:sz w:val="28"/>
          <w:szCs w:val="28"/>
        </w:rPr>
        <w:t>Талантвилль</w:t>
      </w:r>
      <w:proofErr w:type="spellEnd"/>
      <w:r w:rsidRPr="003A10EC">
        <w:rPr>
          <w:sz w:val="28"/>
          <w:szCs w:val="28"/>
        </w:rPr>
        <w:t xml:space="preserve">», ИП Кравченко Юрий Николаевич, ИП </w:t>
      </w:r>
      <w:proofErr w:type="spellStart"/>
      <w:r w:rsidRPr="003A10EC">
        <w:rPr>
          <w:sz w:val="28"/>
          <w:szCs w:val="28"/>
        </w:rPr>
        <w:t>Смелик</w:t>
      </w:r>
      <w:proofErr w:type="spellEnd"/>
      <w:r w:rsidRPr="003A10EC">
        <w:rPr>
          <w:sz w:val="28"/>
          <w:szCs w:val="28"/>
        </w:rPr>
        <w:t xml:space="preserve"> Татьяна Сергеевна, ИП Никитина Валентина Александровна.</w:t>
      </w:r>
    </w:p>
    <w:p w:rsidR="003A10EC" w:rsidRPr="003A10EC" w:rsidRDefault="003A10EC" w:rsidP="003A10EC">
      <w:pPr>
        <w:tabs>
          <w:tab w:val="left" w:pos="993"/>
        </w:tabs>
        <w:ind w:right="-108" w:firstLine="709"/>
        <w:jc w:val="both"/>
        <w:rPr>
          <w:sz w:val="28"/>
          <w:szCs w:val="28"/>
        </w:rPr>
      </w:pPr>
      <w:r w:rsidRPr="003A10EC">
        <w:rPr>
          <w:sz w:val="28"/>
          <w:szCs w:val="28"/>
        </w:rPr>
        <w:t>С  победителями конкурса заключены договоры и выплачены гранты в сумме от 175,36 тыс. руб. до 500,0  тыс. руб. каждому победителю. Общая сумма выплаченных грантов составила 1392,86 тыс</w:t>
      </w:r>
      <w:proofErr w:type="gramStart"/>
      <w:r w:rsidRPr="003A10EC">
        <w:rPr>
          <w:sz w:val="28"/>
          <w:szCs w:val="28"/>
        </w:rPr>
        <w:t>.р</w:t>
      </w:r>
      <w:proofErr w:type="gramEnd"/>
      <w:r w:rsidRPr="003A10EC">
        <w:rPr>
          <w:sz w:val="28"/>
          <w:szCs w:val="28"/>
        </w:rPr>
        <w:t>уб.</w:t>
      </w:r>
    </w:p>
    <w:p w:rsidR="003A10EC" w:rsidRPr="003A10EC" w:rsidRDefault="003A10EC" w:rsidP="003A10EC">
      <w:pPr>
        <w:tabs>
          <w:tab w:val="left" w:pos="993"/>
        </w:tabs>
        <w:ind w:right="-108" w:firstLine="709"/>
        <w:jc w:val="both"/>
        <w:rPr>
          <w:sz w:val="28"/>
          <w:szCs w:val="28"/>
        </w:rPr>
      </w:pPr>
      <w:r w:rsidRPr="003A10EC">
        <w:rPr>
          <w:sz w:val="28"/>
          <w:szCs w:val="28"/>
        </w:rPr>
        <w:t>В течение года проводилась работа  по  привлечению субъектов малого предпринимательства к участию в выставках и ярмарках на территории России и Тульской области. Были приглашены  для участия в следующих мероприятиях:</w:t>
      </w:r>
    </w:p>
    <w:p w:rsidR="003A10EC" w:rsidRPr="003A10EC" w:rsidRDefault="003A10EC" w:rsidP="003A10EC">
      <w:pPr>
        <w:tabs>
          <w:tab w:val="left" w:pos="993"/>
        </w:tabs>
        <w:ind w:right="-108" w:firstLine="317"/>
        <w:jc w:val="both"/>
        <w:rPr>
          <w:sz w:val="28"/>
          <w:szCs w:val="28"/>
        </w:rPr>
      </w:pPr>
      <w:r w:rsidRPr="003A10EC">
        <w:rPr>
          <w:sz w:val="28"/>
          <w:szCs w:val="28"/>
        </w:rPr>
        <w:t>- IV Форум молодых предпринимателей Тульской области;</w:t>
      </w:r>
    </w:p>
    <w:p w:rsidR="003A10EC" w:rsidRPr="003A10EC" w:rsidRDefault="003A10EC" w:rsidP="003A10EC">
      <w:pPr>
        <w:tabs>
          <w:tab w:val="left" w:pos="993"/>
        </w:tabs>
        <w:ind w:right="-108" w:firstLine="317"/>
        <w:jc w:val="both"/>
        <w:rPr>
          <w:sz w:val="28"/>
          <w:szCs w:val="28"/>
        </w:rPr>
      </w:pPr>
      <w:r w:rsidRPr="003A10EC">
        <w:rPr>
          <w:sz w:val="28"/>
          <w:szCs w:val="28"/>
        </w:rPr>
        <w:t>- 25-ая выставка Саммит Животноводов;</w:t>
      </w:r>
    </w:p>
    <w:p w:rsidR="003A10EC" w:rsidRPr="003A10EC" w:rsidRDefault="003A10EC" w:rsidP="003A10EC">
      <w:pPr>
        <w:tabs>
          <w:tab w:val="left" w:pos="993"/>
        </w:tabs>
        <w:ind w:right="-108" w:firstLine="317"/>
        <w:jc w:val="both"/>
        <w:rPr>
          <w:sz w:val="28"/>
          <w:szCs w:val="28"/>
        </w:rPr>
      </w:pPr>
      <w:r w:rsidRPr="003A10EC">
        <w:rPr>
          <w:sz w:val="28"/>
          <w:szCs w:val="28"/>
        </w:rPr>
        <w:t xml:space="preserve">- Неделя </w:t>
      </w:r>
      <w:proofErr w:type="spellStart"/>
      <w:r w:rsidRPr="003A10EC">
        <w:rPr>
          <w:sz w:val="28"/>
          <w:szCs w:val="28"/>
        </w:rPr>
        <w:t>РоссийскогоРитейла</w:t>
      </w:r>
      <w:proofErr w:type="spellEnd"/>
      <w:r w:rsidRPr="003A10EC">
        <w:rPr>
          <w:sz w:val="28"/>
          <w:szCs w:val="28"/>
        </w:rPr>
        <w:t>;</w:t>
      </w:r>
    </w:p>
    <w:p w:rsidR="003A10EC" w:rsidRPr="003A10EC" w:rsidRDefault="003A10EC" w:rsidP="003A10EC">
      <w:pPr>
        <w:tabs>
          <w:tab w:val="left" w:pos="993"/>
        </w:tabs>
        <w:ind w:right="-108" w:firstLine="317"/>
        <w:jc w:val="both"/>
        <w:rPr>
          <w:sz w:val="28"/>
          <w:szCs w:val="28"/>
        </w:rPr>
      </w:pPr>
      <w:r w:rsidRPr="003A10EC">
        <w:rPr>
          <w:sz w:val="28"/>
          <w:szCs w:val="28"/>
        </w:rPr>
        <w:t xml:space="preserve">- научно-практическая конференция  «Климат, плодородие почв, </w:t>
      </w:r>
      <w:proofErr w:type="spellStart"/>
      <w:r w:rsidRPr="003A10EC">
        <w:rPr>
          <w:sz w:val="28"/>
          <w:szCs w:val="28"/>
        </w:rPr>
        <w:t>агротехнологии</w:t>
      </w:r>
      <w:proofErr w:type="spellEnd"/>
      <w:r w:rsidRPr="003A10EC">
        <w:rPr>
          <w:sz w:val="28"/>
          <w:szCs w:val="28"/>
        </w:rPr>
        <w:t>»;</w:t>
      </w:r>
    </w:p>
    <w:p w:rsidR="003A10EC" w:rsidRPr="003A10EC" w:rsidRDefault="003A10EC" w:rsidP="003A10EC">
      <w:pPr>
        <w:tabs>
          <w:tab w:val="left" w:pos="993"/>
        </w:tabs>
        <w:ind w:right="-108" w:firstLine="317"/>
        <w:jc w:val="both"/>
        <w:rPr>
          <w:sz w:val="28"/>
          <w:szCs w:val="28"/>
        </w:rPr>
      </w:pPr>
      <w:r w:rsidRPr="003A10EC">
        <w:rPr>
          <w:sz w:val="28"/>
          <w:szCs w:val="28"/>
        </w:rPr>
        <w:t xml:space="preserve">- 2-ой Международный Саммит «Агропромышленный и </w:t>
      </w:r>
      <w:proofErr w:type="spellStart"/>
      <w:r w:rsidRPr="003A10EC">
        <w:rPr>
          <w:sz w:val="28"/>
          <w:szCs w:val="28"/>
        </w:rPr>
        <w:t>рыбохозяйственный</w:t>
      </w:r>
      <w:proofErr w:type="spellEnd"/>
      <w:r w:rsidRPr="003A10EC">
        <w:rPr>
          <w:sz w:val="28"/>
          <w:szCs w:val="28"/>
        </w:rPr>
        <w:t xml:space="preserve"> комплекс России»;</w:t>
      </w:r>
    </w:p>
    <w:p w:rsidR="003A10EC" w:rsidRPr="003A10EC" w:rsidRDefault="003A10EC" w:rsidP="003A10EC">
      <w:pPr>
        <w:pStyle w:val="a3"/>
        <w:ind w:right="-108" w:firstLine="317"/>
        <w:jc w:val="both"/>
        <w:rPr>
          <w:sz w:val="28"/>
          <w:szCs w:val="28"/>
        </w:rPr>
      </w:pPr>
      <w:r w:rsidRPr="003A10EC">
        <w:rPr>
          <w:sz w:val="28"/>
          <w:szCs w:val="28"/>
        </w:rPr>
        <w:t xml:space="preserve">- международная специализированная выставка сельскохозяйственной техники «Крокус </w:t>
      </w:r>
      <w:proofErr w:type="spellStart"/>
      <w:r w:rsidRPr="003A10EC">
        <w:rPr>
          <w:sz w:val="28"/>
          <w:szCs w:val="28"/>
        </w:rPr>
        <w:t>Экспо</w:t>
      </w:r>
      <w:proofErr w:type="spellEnd"/>
      <w:r w:rsidRPr="003A10EC">
        <w:rPr>
          <w:sz w:val="28"/>
          <w:szCs w:val="28"/>
        </w:rPr>
        <w:t>»;</w:t>
      </w:r>
    </w:p>
    <w:p w:rsidR="003A10EC" w:rsidRPr="003A10EC" w:rsidRDefault="003A10EC" w:rsidP="003A10EC">
      <w:pPr>
        <w:pStyle w:val="a3"/>
        <w:ind w:right="-108" w:firstLine="317"/>
        <w:jc w:val="both"/>
        <w:rPr>
          <w:sz w:val="28"/>
          <w:szCs w:val="28"/>
        </w:rPr>
      </w:pPr>
      <w:r w:rsidRPr="003A10EC">
        <w:rPr>
          <w:sz w:val="28"/>
          <w:szCs w:val="28"/>
        </w:rPr>
        <w:t>- специализированная выставка в сфере животноводства –«</w:t>
      </w:r>
      <w:proofErr w:type="spellStart"/>
      <w:r w:rsidRPr="003A10EC">
        <w:rPr>
          <w:sz w:val="28"/>
          <w:szCs w:val="28"/>
        </w:rPr>
        <w:t>EuroTier</w:t>
      </w:r>
      <w:proofErr w:type="spellEnd"/>
      <w:r w:rsidRPr="003A10EC">
        <w:rPr>
          <w:sz w:val="28"/>
          <w:szCs w:val="28"/>
        </w:rPr>
        <w:t xml:space="preserve"> 2016»;</w:t>
      </w:r>
    </w:p>
    <w:p w:rsidR="003A10EC" w:rsidRPr="003A10EC" w:rsidRDefault="003A10EC" w:rsidP="003A10EC">
      <w:pPr>
        <w:pStyle w:val="a3"/>
        <w:ind w:right="-108" w:firstLine="317"/>
        <w:jc w:val="both"/>
        <w:rPr>
          <w:sz w:val="28"/>
          <w:szCs w:val="28"/>
        </w:rPr>
      </w:pPr>
      <w:r w:rsidRPr="003A10EC">
        <w:rPr>
          <w:sz w:val="28"/>
          <w:szCs w:val="28"/>
        </w:rPr>
        <w:t>- Российская агропромышленная выставка «Золотая осень 2016»;</w:t>
      </w:r>
    </w:p>
    <w:p w:rsidR="003A10EC" w:rsidRPr="003A10EC" w:rsidRDefault="003A10EC" w:rsidP="003A10EC">
      <w:pPr>
        <w:pStyle w:val="a3"/>
        <w:ind w:right="-108" w:firstLine="317"/>
        <w:jc w:val="both"/>
        <w:rPr>
          <w:sz w:val="28"/>
          <w:szCs w:val="28"/>
        </w:rPr>
      </w:pPr>
      <w:r w:rsidRPr="003A10EC">
        <w:rPr>
          <w:sz w:val="28"/>
          <w:szCs w:val="28"/>
        </w:rPr>
        <w:t>- Региональная конференция в сфере закупок «ЗАКУПКИ-ОСЕНЬ-2016»;</w:t>
      </w:r>
    </w:p>
    <w:p w:rsidR="003A10EC" w:rsidRPr="003A10EC" w:rsidRDefault="003A10EC" w:rsidP="003A10EC">
      <w:pPr>
        <w:pStyle w:val="a3"/>
        <w:ind w:right="-108" w:firstLine="317"/>
        <w:jc w:val="both"/>
        <w:rPr>
          <w:sz w:val="28"/>
          <w:szCs w:val="28"/>
        </w:rPr>
      </w:pPr>
      <w:r w:rsidRPr="003A10EC">
        <w:rPr>
          <w:sz w:val="28"/>
          <w:szCs w:val="28"/>
        </w:rPr>
        <w:t>- Форум «</w:t>
      </w:r>
      <w:proofErr w:type="spellStart"/>
      <w:r w:rsidRPr="003A10EC">
        <w:rPr>
          <w:sz w:val="28"/>
          <w:szCs w:val="28"/>
        </w:rPr>
        <w:t>Франчайзинг</w:t>
      </w:r>
      <w:proofErr w:type="spellEnd"/>
      <w:r w:rsidRPr="003A10EC">
        <w:rPr>
          <w:sz w:val="28"/>
          <w:szCs w:val="28"/>
        </w:rPr>
        <w:t>. Регионы»;</w:t>
      </w:r>
    </w:p>
    <w:p w:rsidR="003A10EC" w:rsidRPr="003A10EC" w:rsidRDefault="003A10EC" w:rsidP="003A10EC">
      <w:pPr>
        <w:tabs>
          <w:tab w:val="left" w:pos="993"/>
        </w:tabs>
        <w:ind w:firstLine="284"/>
        <w:jc w:val="both"/>
        <w:rPr>
          <w:sz w:val="28"/>
          <w:szCs w:val="28"/>
        </w:rPr>
      </w:pPr>
      <w:r w:rsidRPr="003A10EC">
        <w:rPr>
          <w:sz w:val="28"/>
          <w:szCs w:val="28"/>
        </w:rPr>
        <w:t>- других ярмарках и выставках.</w:t>
      </w:r>
    </w:p>
    <w:p w:rsidR="003A10EC" w:rsidRPr="003A10EC" w:rsidRDefault="003A10EC" w:rsidP="003A10EC">
      <w:pPr>
        <w:tabs>
          <w:tab w:val="left" w:pos="993"/>
        </w:tabs>
        <w:ind w:right="-108" w:firstLine="709"/>
        <w:jc w:val="both"/>
        <w:rPr>
          <w:sz w:val="28"/>
          <w:szCs w:val="28"/>
        </w:rPr>
      </w:pPr>
      <w:r w:rsidRPr="003A10EC">
        <w:rPr>
          <w:sz w:val="28"/>
          <w:szCs w:val="28"/>
        </w:rPr>
        <w:t>Проводился анализ финансово - хозяйственной деятельности субъектов малого и среднего    предпринимательства и   лучшие предприятия   выдвигаются на областной конкурс  среди  субъектов малого и среднего предпринимательства «Бизнес-Триумф».</w:t>
      </w:r>
    </w:p>
    <w:p w:rsidR="003A10EC" w:rsidRPr="003A10EC" w:rsidRDefault="003A10EC" w:rsidP="003A10EC">
      <w:pPr>
        <w:tabs>
          <w:tab w:val="left" w:pos="993"/>
        </w:tabs>
        <w:ind w:right="-108" w:firstLine="709"/>
        <w:jc w:val="both"/>
        <w:rPr>
          <w:sz w:val="28"/>
          <w:szCs w:val="28"/>
        </w:rPr>
      </w:pPr>
      <w:r w:rsidRPr="003A10EC">
        <w:rPr>
          <w:sz w:val="28"/>
          <w:szCs w:val="28"/>
        </w:rPr>
        <w:t xml:space="preserve"> В 2016 году от предприятий Киреевского района было подано 3 заявки на участие в конкурсе ООО «Свежесть-365» заняло 2 место в номинации «Лучшее сельскохозяйственное предприятие».</w:t>
      </w:r>
    </w:p>
    <w:p w:rsidR="003A10EC" w:rsidRPr="003A10EC" w:rsidRDefault="003A10EC" w:rsidP="003A10EC">
      <w:pPr>
        <w:tabs>
          <w:tab w:val="left" w:pos="993"/>
        </w:tabs>
        <w:ind w:firstLine="709"/>
        <w:jc w:val="both"/>
        <w:rPr>
          <w:sz w:val="28"/>
          <w:szCs w:val="28"/>
        </w:rPr>
      </w:pPr>
      <w:r w:rsidRPr="003A10EC">
        <w:rPr>
          <w:sz w:val="28"/>
          <w:szCs w:val="28"/>
        </w:rPr>
        <w:t>Начинающие предприниматели района приняли участие в 3 обучающих семинарах по программе «Точка входа».</w:t>
      </w:r>
    </w:p>
    <w:p w:rsidR="003A10EC" w:rsidRPr="003A10EC" w:rsidRDefault="003A10EC" w:rsidP="003A10EC">
      <w:pPr>
        <w:pStyle w:val="a3"/>
        <w:tabs>
          <w:tab w:val="left" w:pos="993"/>
        </w:tabs>
        <w:ind w:left="33" w:firstLine="676"/>
        <w:jc w:val="both"/>
        <w:rPr>
          <w:sz w:val="28"/>
          <w:szCs w:val="28"/>
        </w:rPr>
      </w:pPr>
      <w:proofErr w:type="spellStart"/>
      <w:r w:rsidRPr="003A10EC">
        <w:rPr>
          <w:rFonts w:eastAsia="+mn-ea"/>
          <w:sz w:val="28"/>
          <w:szCs w:val="28"/>
        </w:rPr>
        <w:t>Микрофинансовая</w:t>
      </w:r>
      <w:proofErr w:type="spellEnd"/>
      <w:r w:rsidRPr="003A10EC">
        <w:rPr>
          <w:rFonts w:eastAsia="+mn-ea"/>
          <w:sz w:val="28"/>
          <w:szCs w:val="28"/>
        </w:rPr>
        <w:t xml:space="preserve"> организация Муниципальный фонд поддержки малого и среднего предпринимательства </w:t>
      </w:r>
      <w:r w:rsidRPr="003A10EC">
        <w:rPr>
          <w:sz w:val="28"/>
          <w:szCs w:val="28"/>
        </w:rPr>
        <w:t>действует на территории  района с 22 ноября 2002 года. Основная задача фонда является: реализация проектов развития малого и среднего  бизнеса, содействие созданию рабочих мест на малых  и средних предприятиях.</w:t>
      </w:r>
    </w:p>
    <w:p w:rsidR="003A10EC" w:rsidRPr="003A10EC" w:rsidRDefault="003A10EC" w:rsidP="003A10EC">
      <w:pPr>
        <w:pStyle w:val="a3"/>
        <w:ind w:left="33" w:firstLine="676"/>
        <w:jc w:val="both"/>
        <w:rPr>
          <w:sz w:val="28"/>
          <w:szCs w:val="28"/>
        </w:rPr>
      </w:pPr>
      <w:r w:rsidRPr="003A10EC">
        <w:rPr>
          <w:sz w:val="28"/>
          <w:szCs w:val="28"/>
        </w:rPr>
        <w:t xml:space="preserve">За 2016 год  было  выдано 27  </w:t>
      </w:r>
      <w:proofErr w:type="spellStart"/>
      <w:r w:rsidRPr="003A10EC">
        <w:rPr>
          <w:sz w:val="28"/>
          <w:szCs w:val="28"/>
        </w:rPr>
        <w:t>микрозаймов</w:t>
      </w:r>
      <w:proofErr w:type="spellEnd"/>
      <w:r w:rsidRPr="003A10EC">
        <w:rPr>
          <w:sz w:val="28"/>
          <w:szCs w:val="28"/>
        </w:rPr>
        <w:t xml:space="preserve"> на общую сумму – 37,1 млн.  руб.</w:t>
      </w:r>
    </w:p>
    <w:p w:rsidR="000643FF" w:rsidRPr="003A10EC" w:rsidRDefault="003A10EC" w:rsidP="003C64C0">
      <w:pPr>
        <w:pStyle w:val="a3"/>
        <w:ind w:left="33" w:firstLine="676"/>
        <w:jc w:val="both"/>
        <w:rPr>
          <w:sz w:val="28"/>
          <w:szCs w:val="28"/>
        </w:rPr>
      </w:pPr>
      <w:r w:rsidRPr="003A10EC">
        <w:rPr>
          <w:sz w:val="28"/>
          <w:szCs w:val="28"/>
        </w:rPr>
        <w:t>___________________________________________________________</w:t>
      </w:r>
    </w:p>
    <w:sectPr w:rsidR="000643FF" w:rsidRPr="003A10EC" w:rsidSect="003A10EC">
      <w:pgSz w:w="11906" w:h="16838"/>
      <w:pgMar w:top="567" w:right="851" w:bottom="62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51936"/>
    <w:multiLevelType w:val="hybridMultilevel"/>
    <w:tmpl w:val="56DC984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B980FF9"/>
    <w:multiLevelType w:val="hybridMultilevel"/>
    <w:tmpl w:val="8EFA7762"/>
    <w:lvl w:ilvl="0" w:tplc="8B663056">
      <w:start w:val="1"/>
      <w:numFmt w:val="bullet"/>
      <w:lvlText w:val=""/>
      <w:lvlJc w:val="left"/>
      <w:pPr>
        <w:ind w:left="1560" w:hanging="360"/>
      </w:pPr>
      <w:rPr>
        <w:rFonts w:ascii="Wingdings" w:hAnsi="Wingdings" w:hint="default"/>
        <w:color w:val="auto"/>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10EC"/>
    <w:rsid w:val="000643FF"/>
    <w:rsid w:val="00194452"/>
    <w:rsid w:val="003A10EC"/>
    <w:rsid w:val="003C64C0"/>
    <w:rsid w:val="00614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0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10EC"/>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3A10EC"/>
    <w:pPr>
      <w:ind w:left="720"/>
      <w:contextualSpacing/>
    </w:pPr>
    <w:rPr>
      <w:sz w:val="20"/>
      <w:szCs w:val="20"/>
    </w:rPr>
  </w:style>
  <w:style w:type="character" w:customStyle="1" w:styleId="a4">
    <w:name w:val="Без интервала Знак"/>
    <w:basedOn w:val="a0"/>
    <w:link w:val="a3"/>
    <w:uiPriority w:val="1"/>
    <w:rsid w:val="003A10E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A10EC"/>
    <w:rPr>
      <w:rFonts w:ascii="Tahoma" w:hAnsi="Tahoma" w:cs="Tahoma"/>
      <w:sz w:val="16"/>
      <w:szCs w:val="16"/>
    </w:rPr>
  </w:style>
  <w:style w:type="character" w:customStyle="1" w:styleId="a7">
    <w:name w:val="Текст выноски Знак"/>
    <w:basedOn w:val="a0"/>
    <w:link w:val="a6"/>
    <w:uiPriority w:val="99"/>
    <w:semiHidden/>
    <w:rsid w:val="003A10EC"/>
    <w:rPr>
      <w:rFonts w:ascii="Tahoma" w:eastAsia="Times New Roman" w:hAnsi="Tahoma" w:cs="Tahoma"/>
      <w:sz w:val="16"/>
      <w:szCs w:val="16"/>
      <w:lang w:eastAsia="ru-RU"/>
    </w:rPr>
  </w:style>
  <w:style w:type="paragraph" w:styleId="a8">
    <w:name w:val="header"/>
    <w:basedOn w:val="a"/>
    <w:link w:val="a9"/>
    <w:rsid w:val="003C64C0"/>
    <w:pPr>
      <w:tabs>
        <w:tab w:val="center" w:pos="4677"/>
        <w:tab w:val="right" w:pos="9355"/>
      </w:tabs>
    </w:pPr>
  </w:style>
  <w:style w:type="character" w:customStyle="1" w:styleId="a9">
    <w:name w:val="Верхний колонтитул Знак"/>
    <w:basedOn w:val="a0"/>
    <w:link w:val="a8"/>
    <w:rsid w:val="003C64C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1" i="0" u="none" strike="noStrike" baseline="0">
                <a:solidFill>
                  <a:srgbClr val="000000"/>
                </a:solidFill>
                <a:latin typeface="Bodoni MT"/>
                <a:ea typeface="Bodoni MT"/>
                <a:cs typeface="Bodoni MT"/>
              </a:defRPr>
            </a:pPr>
            <a:r>
              <a:rPr lang="ru-RU"/>
              <a:t>Динамика поступления налогов от субъектов малого бизнеса, 
млн. рублей</a:t>
            </a:r>
          </a:p>
        </c:rich>
      </c:tx>
      <c:layout>
        <c:manualLayout>
          <c:xMode val="edge"/>
          <c:yMode val="edge"/>
          <c:x val="0.17550274223034734"/>
          <c:y val="1.8433179723502325E-2"/>
        </c:manualLayout>
      </c:layout>
      <c:spPr>
        <a:noFill/>
        <a:ln w="25399">
          <a:noFill/>
        </a:ln>
      </c:spPr>
    </c:title>
    <c:view3D>
      <c:hPercent val="330"/>
      <c:depthPercent val="100"/>
      <c:rAngAx val="1"/>
    </c:view3D>
    <c:floor>
      <c:spPr>
        <a:solidFill>
          <a:srgbClr val="C0C0C0"/>
        </a:solidFill>
        <a:ln w="3175">
          <a:solidFill>
            <a:srgbClr val="000000"/>
          </a:solidFill>
          <a:prstDash val="solid"/>
        </a:ln>
      </c:spPr>
    </c:floor>
    <c:sideWall>
      <c:spPr>
        <a:solidFill>
          <a:srgbClr val="FFFFFF"/>
        </a:solidFill>
        <a:ln w="12700">
          <a:solidFill>
            <a:srgbClr val="FFFFFF"/>
          </a:solidFill>
          <a:prstDash val="solid"/>
        </a:ln>
      </c:spPr>
    </c:sideWall>
    <c:backWall>
      <c:spPr>
        <a:solidFill>
          <a:srgbClr val="FFFFFF"/>
        </a:solidFill>
        <a:ln w="12700">
          <a:solidFill>
            <a:srgbClr val="FFFFFF"/>
          </a:solidFill>
          <a:prstDash val="solid"/>
        </a:ln>
      </c:spPr>
    </c:backWall>
    <c:plotArea>
      <c:layout>
        <c:manualLayout>
          <c:layoutTarget val="inner"/>
          <c:xMode val="edge"/>
          <c:yMode val="edge"/>
          <c:x val="0.1206581352833638"/>
          <c:y val="0.16589861751152085"/>
          <c:w val="0.78244972577696448"/>
          <c:h val="0.68202764976958563"/>
        </c:manualLayout>
      </c:layout>
      <c:bar3DChart>
        <c:barDir val="bar"/>
        <c:grouping val="percentStacked"/>
        <c:ser>
          <c:idx val="0"/>
          <c:order val="0"/>
          <c:tx>
            <c:strRef>
              <c:f>Sheet1!$A$2</c:f>
              <c:strCache>
                <c:ptCount val="1"/>
                <c:pt idx="0">
                  <c:v>УСН</c:v>
                </c:pt>
              </c:strCache>
            </c:strRef>
          </c:tx>
          <c:spPr>
            <a:solidFill>
              <a:srgbClr val="9999FF"/>
            </a:solidFill>
            <a:ln w="12699">
              <a:solidFill>
                <a:srgbClr val="000000"/>
              </a:solidFill>
              <a:prstDash val="solid"/>
            </a:ln>
          </c:spPr>
          <c:dLbls>
            <c:spPr>
              <a:noFill/>
              <a:ln w="25399">
                <a:noFill/>
              </a:ln>
            </c:spPr>
            <c:txPr>
              <a:bodyPr/>
              <a:lstStyle/>
              <a:p>
                <a:pPr>
                  <a:defRPr sz="950" b="1" i="0" u="none" strike="noStrike" baseline="0">
                    <a:solidFill>
                      <a:srgbClr val="000000"/>
                    </a:solidFill>
                    <a:latin typeface="Calibri"/>
                    <a:ea typeface="Calibri"/>
                    <a:cs typeface="Calibri"/>
                  </a:defRPr>
                </a:pPr>
                <a:endParaRPr lang="ru-RU"/>
              </a:p>
            </c:txPr>
            <c:showVal val="1"/>
          </c:dLbls>
          <c:cat>
            <c:strRef>
              <c:f>Sheet1!$B$1:$C$1</c:f>
              <c:strCache>
                <c:ptCount val="2"/>
                <c:pt idx="0">
                  <c:v>2016 год</c:v>
                </c:pt>
                <c:pt idx="1">
                  <c:v>2015 год</c:v>
                </c:pt>
              </c:strCache>
            </c:strRef>
          </c:cat>
          <c:val>
            <c:numRef>
              <c:f>Sheet1!$B$2:$C$2</c:f>
              <c:numCache>
                <c:formatCode>General</c:formatCode>
                <c:ptCount val="2"/>
                <c:pt idx="0">
                  <c:v>11.850000000000007</c:v>
                </c:pt>
                <c:pt idx="1">
                  <c:v>11.5</c:v>
                </c:pt>
              </c:numCache>
            </c:numRef>
          </c:val>
        </c:ser>
        <c:ser>
          <c:idx val="1"/>
          <c:order val="1"/>
          <c:tx>
            <c:strRef>
              <c:f>Sheet1!$A$3</c:f>
              <c:strCache>
                <c:ptCount val="1"/>
                <c:pt idx="0">
                  <c:v>ЕНВД</c:v>
                </c:pt>
              </c:strCache>
            </c:strRef>
          </c:tx>
          <c:spPr>
            <a:solidFill>
              <a:srgbClr val="993366"/>
            </a:solidFill>
            <a:ln w="12699">
              <a:solidFill>
                <a:srgbClr val="000000"/>
              </a:solidFill>
              <a:prstDash val="solid"/>
            </a:ln>
          </c:spPr>
          <c:dLbls>
            <c:spPr>
              <a:noFill/>
              <a:ln w="25399">
                <a:noFill/>
              </a:ln>
            </c:spPr>
            <c:txPr>
              <a:bodyPr/>
              <a:lstStyle/>
              <a:p>
                <a:pPr>
                  <a:defRPr sz="950" b="1" i="0" u="none" strike="noStrike" baseline="0">
                    <a:solidFill>
                      <a:srgbClr val="000000"/>
                    </a:solidFill>
                    <a:latin typeface="Calibri"/>
                    <a:ea typeface="Calibri"/>
                    <a:cs typeface="Calibri"/>
                  </a:defRPr>
                </a:pPr>
                <a:endParaRPr lang="ru-RU"/>
              </a:p>
            </c:txPr>
            <c:showVal val="1"/>
          </c:dLbls>
          <c:cat>
            <c:strRef>
              <c:f>Sheet1!$B$1:$C$1</c:f>
              <c:strCache>
                <c:ptCount val="2"/>
                <c:pt idx="0">
                  <c:v>2016 год</c:v>
                </c:pt>
                <c:pt idx="1">
                  <c:v>2015 год</c:v>
                </c:pt>
              </c:strCache>
            </c:strRef>
          </c:cat>
          <c:val>
            <c:numRef>
              <c:f>Sheet1!$B$3:$C$3</c:f>
              <c:numCache>
                <c:formatCode>General</c:formatCode>
                <c:ptCount val="2"/>
                <c:pt idx="0">
                  <c:v>23.1</c:v>
                </c:pt>
                <c:pt idx="1">
                  <c:v>29.5</c:v>
                </c:pt>
              </c:numCache>
            </c:numRef>
          </c:val>
        </c:ser>
        <c:ser>
          <c:idx val="2"/>
          <c:order val="2"/>
          <c:tx>
            <c:strRef>
              <c:f>Sheet1!$A$4</c:f>
              <c:strCache>
                <c:ptCount val="1"/>
                <c:pt idx="0">
                  <c:v>ЕХН</c:v>
                </c:pt>
              </c:strCache>
            </c:strRef>
          </c:tx>
          <c:spPr>
            <a:solidFill>
              <a:srgbClr val="FFFFCC"/>
            </a:solidFill>
            <a:ln w="12699">
              <a:solidFill>
                <a:srgbClr val="000000"/>
              </a:solidFill>
              <a:prstDash val="solid"/>
            </a:ln>
          </c:spPr>
          <c:dLbls>
            <c:spPr>
              <a:noFill/>
              <a:ln w="25399">
                <a:noFill/>
              </a:ln>
            </c:spPr>
            <c:txPr>
              <a:bodyPr/>
              <a:lstStyle/>
              <a:p>
                <a:pPr>
                  <a:defRPr sz="950" b="1" i="0" u="none" strike="noStrike" baseline="0">
                    <a:solidFill>
                      <a:srgbClr val="000000"/>
                    </a:solidFill>
                    <a:latin typeface="Calibri"/>
                    <a:ea typeface="Calibri"/>
                    <a:cs typeface="Calibri"/>
                  </a:defRPr>
                </a:pPr>
                <a:endParaRPr lang="ru-RU"/>
              </a:p>
            </c:txPr>
            <c:showVal val="1"/>
          </c:dLbls>
          <c:cat>
            <c:strRef>
              <c:f>Sheet1!$B$1:$C$1</c:f>
              <c:strCache>
                <c:ptCount val="2"/>
                <c:pt idx="0">
                  <c:v>2016 год</c:v>
                </c:pt>
                <c:pt idx="1">
                  <c:v>2015 год</c:v>
                </c:pt>
              </c:strCache>
            </c:strRef>
          </c:cat>
          <c:val>
            <c:numRef>
              <c:f>Sheet1!$B$4:$C$4</c:f>
              <c:numCache>
                <c:formatCode>General</c:formatCode>
                <c:ptCount val="2"/>
                <c:pt idx="0">
                  <c:v>5.03</c:v>
                </c:pt>
                <c:pt idx="1">
                  <c:v>3.9</c:v>
                </c:pt>
              </c:numCache>
            </c:numRef>
          </c:val>
        </c:ser>
        <c:dLbls>
          <c:showVal val="1"/>
        </c:dLbls>
        <c:gapDepth val="0"/>
        <c:shape val="box"/>
        <c:axId val="123471360"/>
        <c:axId val="123472896"/>
        <c:axId val="0"/>
      </c:bar3DChart>
      <c:catAx>
        <c:axId val="123471360"/>
        <c:scaling>
          <c:orientation val="minMax"/>
        </c:scaling>
        <c:axPos val="l"/>
        <c:numFmt formatCode="General" sourceLinked="1"/>
        <c:tickLblPos val="low"/>
        <c:spPr>
          <a:ln w="3175">
            <a:solidFill>
              <a:srgbClr val="000000"/>
            </a:solidFill>
            <a:prstDash val="solid"/>
          </a:ln>
        </c:spPr>
        <c:txPr>
          <a:bodyPr rot="0" vert="horz"/>
          <a:lstStyle/>
          <a:p>
            <a:pPr>
              <a:defRPr sz="950" b="1" i="0" u="none" strike="noStrike" baseline="0">
                <a:solidFill>
                  <a:srgbClr val="000000"/>
                </a:solidFill>
                <a:latin typeface="Calibri"/>
                <a:ea typeface="Calibri"/>
                <a:cs typeface="Calibri"/>
              </a:defRPr>
            </a:pPr>
            <a:endParaRPr lang="ru-RU"/>
          </a:p>
        </c:txPr>
        <c:crossAx val="123472896"/>
        <c:crosses val="autoZero"/>
        <c:auto val="1"/>
        <c:lblAlgn val="ctr"/>
        <c:lblOffset val="100"/>
        <c:tickLblSkip val="1"/>
        <c:tickMarkSkip val="1"/>
      </c:catAx>
      <c:valAx>
        <c:axId val="123472896"/>
        <c:scaling>
          <c:orientation val="minMax"/>
        </c:scaling>
        <c:delete val="1"/>
        <c:axPos val="b"/>
        <c:majorGridlines>
          <c:spPr>
            <a:ln w="12699">
              <a:solidFill>
                <a:srgbClr val="FFFFFF"/>
              </a:solidFill>
              <a:prstDash val="solid"/>
            </a:ln>
          </c:spPr>
        </c:majorGridlines>
        <c:numFmt formatCode="0%" sourceLinked="1"/>
        <c:tickLblPos val="none"/>
        <c:crossAx val="123471360"/>
        <c:crosses val="autoZero"/>
        <c:crossBetween val="between"/>
      </c:valAx>
      <c:spPr>
        <a:noFill/>
        <a:ln w="25399">
          <a:noFill/>
        </a:ln>
      </c:spPr>
    </c:plotArea>
    <c:legend>
      <c:legendPos val="r"/>
      <c:layout>
        <c:manualLayout>
          <c:xMode val="edge"/>
          <c:yMode val="edge"/>
          <c:x val="0.28519195612431425"/>
          <c:y val="0.82488479262672854"/>
          <c:w val="0.43692870201096939"/>
          <c:h val="9.2165898617511524E-2"/>
        </c:manualLayout>
      </c:layout>
      <c:spPr>
        <a:noFill/>
        <a:ln w="12699">
          <a:solidFill>
            <a:srgbClr val="FFFFFF"/>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chart>
  <c:spPr>
    <a:solidFill>
      <a:srgbClr val="FFFFFF"/>
    </a:solidFill>
    <a:ln>
      <a:noFill/>
    </a:ln>
  </c:spPr>
  <c:txPr>
    <a:bodyPr/>
    <a:lstStyle/>
    <a:p>
      <a:pPr>
        <a:defRPr sz="95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1363</Words>
  <Characters>7772</Characters>
  <Application>Microsoft Office Word</Application>
  <DocSecurity>0</DocSecurity>
  <Lines>64</Lines>
  <Paragraphs>18</Paragraphs>
  <ScaleCrop>false</ScaleCrop>
  <Company/>
  <LinksUpToDate>false</LinksUpToDate>
  <CharactersWithSpaces>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Bobrova</dc:creator>
  <cp:lastModifiedBy>Bobrova</cp:lastModifiedBy>
  <cp:revision>2</cp:revision>
  <dcterms:created xsi:type="dcterms:W3CDTF">2017-09-12T09:35:00Z</dcterms:created>
  <dcterms:modified xsi:type="dcterms:W3CDTF">2017-09-12T09:39:00Z</dcterms:modified>
</cp:coreProperties>
</file>