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00" w:rsidRPr="00EB1100" w:rsidRDefault="00EB1100" w:rsidP="00EB110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B110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Комплексные меры профилактики преступлений и иных правонарушений в Киреевском районе на 2013-2015 годы.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АДМИНИСТРАЦИИ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от 14 ноября 2012 г. № 1165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долгосрочной целевой программы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«Комплексные меры профилактики преступлений и иных правонарушений в Киреевском районе на 2013-2015 годы»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</w:tblGrid>
      <w:tr w:rsidR="00EB1100" w:rsidRPr="00EB1100" w:rsidTr="00EB1100">
        <w:trPr>
          <w:tblCellSpacing w:w="0" w:type="dxa"/>
        </w:trPr>
        <w:tc>
          <w:tcPr>
            <w:tcW w:w="4470" w:type="dxa"/>
            <w:shd w:val="clear" w:color="auto" w:fill="FFFFFF"/>
            <w:hideMark/>
          </w:tcPr>
          <w:p w:rsidR="00EB1100" w:rsidRPr="00EB1100" w:rsidRDefault="00EB1100" w:rsidP="00EB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</w:tbl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постановлением администрации муниципального образования Киреевский район от 8.11.2012 г. № 1152 «О разработке долгосрочной целевой программы «Комплексные меры профилактики преступлений и иных правонарушений в Киреевском районе на 2013-2015 годы», на основании п.1 ст. 39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1.Утвердить долгосрочную целевую программу «Комплексные меры профилактики преступлений и иных правонарушений в Киреевском районе на 2013-2015 годы» (приложение).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2.Опубликовать данное постановление в средствах массовой информации и разместить на официальном сайте муниципального образования Киреевский район.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3.</w:t>
      </w:r>
      <w:proofErr w:type="gram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Киреевский район </w:t>
      </w: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И.А.Величко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4.Постановление вступает в силу с 1 января 2013 г.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администрации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EB110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А.И.Лепёхин</w:t>
      </w:r>
      <w:proofErr w:type="spellEnd"/>
    </w:p>
    <w:p w:rsidR="00EB1100" w:rsidRPr="00EB1100" w:rsidRDefault="00EB1100" w:rsidP="00EB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br/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Приложение к постановлению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администрации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м.о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. Киреевский район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от14 ноября 2012. № 1165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ДОЛГОСРОЧНАЯ ЦЕЛЕВАЯ ПРОГРАММА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"КОМПЛЕКСНЫЕ МЕРЫ ПРОФИЛАКТИКИ ПРЕСТУПЛЕНИЙ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И ИНЫХ ПРАВОНАРУШЕНИЙ В КИРЕЕВСКОМ РАЙОНЕ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НА 2013 - 2015 ГОДЫ"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Паспорт долгосрочной целевой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955"/>
      </w:tblGrid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Долгосрочная целевая программа «Комплексные меры профилактики преступлений и иных правонарушений в Киреевском районе на 2013-2015 гг.»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Муниципальный заказчик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Основные разработчики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ОМВД России по Киреевскому району (по согласованию), комитет по образованию администрации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м.о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. Киреевский район, комитет по гражданской обороне, чрезвычайным ситуациям, мобилизационной подготовке и охране окружающей среды администрации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м.о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. Киреевский район, комитет ЖКХ, строительства и дорожного хозяйства администрации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м.о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 Киреевский район, УФМС России по Киреевскому району Тульской области, КДН и ЗП муниципального образования Киреевский район, ГОУ ТО «Управление</w:t>
            </w:r>
            <w:proofErr w:type="gram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социальной защиты населения Киреевского района» (по согласованию), ГУ ТО «Центр занятости населения г.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» (по согласованию)</w:t>
            </w:r>
            <w:proofErr w:type="gram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,У</w:t>
            </w:r>
            <w:proofErr w:type="gram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ИИ №18 ФБУ «МРУИИ №2 УФСИН России по Тульской области» (по согласованию)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Исполнители долгосрочной целевой программы – органы и учреждения системы профилактики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Межведомственная комиссия по профилактике правонарушений на территории муниципального образования Киреевский район; </w:t>
            </w:r>
            <w:proofErr w:type="gram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ОМВД России по Киреевскому району (по согласованию), комитет по образованию администрации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м.о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. Киреевский район, комитет по гражданской обороне, чрезвычайным ситуациям, мобилизационной подготовке и охране окружающей среды администрации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м.о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. Киреевский район, комитет ЖКХ, строительства и дорожного хозяйства администрации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м.о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 Киреевский район, УФМС России по Киреевскому району Тульской области, КДН и ЗП муниципального образования Киреевский район, ГОУ ТО «Управление</w:t>
            </w:r>
            <w:proofErr w:type="gram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социальной защиты населения Киреевского района» (по согласованию), ГУ ТО «Центр занятости населения г. </w:t>
            </w:r>
            <w:proofErr w:type="spell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</w:t>
            </w:r>
            <w:proofErr w:type="spell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» (по согласованию)</w:t>
            </w:r>
            <w:proofErr w:type="gramStart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,У</w:t>
            </w:r>
            <w:proofErr w:type="gramEnd"/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ИИ №18 ФБУ «МРУИИ №2 УФСИН России по Тульской области» (по согласованию), общественные организации, действующие на территории Киреевского района (по согласованию)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и задачи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Цель долгосрочной целевой программы: совершенствование системы профилактики преступлений и правонарушений на территории муниципального образования Киреевский район, повышение уровня обеспечения общественного порядка и общественной безопасности, создание условий по обеспечению защиты населения, особо важных объектов, объектов жизнеобеспечения и массового пребывания людей от террористической угрозы, предупреждения, выявления и пресечения террористической и экстремистской деятельности.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Задачи долгосрочной целевой программы: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активизация борьбы с пьянством, и другими социальными явлениями;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социализация лиц, освободившихся из мест лишения свободы;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активизация работы по борьбе с безнадзорностью, беспризорностью и правонарушениями несовершеннолетних;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предупреждение преступлений, совершаемых на улицах и других общественных местах.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создание условий для участия граждан и их объединений в обеспечении безопасности, предупреждении и пресечении террористических проявлений;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координация деятельности территориальных органов федеральных органов исполнительной власти и органов местного самоуправления в целях достижения согласованных действий по предупреждению, выявлению и пресечению террористических акций, а также выявлению и устранению причин и условий, способствующих подготовке и реализации террористических угроз.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лицами в состоянии алкогольного опьянения с 104 до 98.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несовершеннолетними с 26 до 23.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лицами, ранее совершавшими преступления с 200 до 190.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на улицах и других общественных местах с 135 до 122.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Сроки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2013-2015 гг.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Перечень подпрограмм (мероприятий)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профилактика правонарушений.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Профилактика правонарушений на улицах, в общественных местах, предупреждение экстремизма и терроризма.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Профилактика правонарушений, совершаемых на административных участках, профилактика насилия в сфере семейно-бытовых отношений.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Профилактика правонарушений отдельных категорий </w:t>
            </w: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населения: несовершеннолетних, мигрантов, лиц, освободившихся из мест лишения свободы.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Укрепление материально-технической базы ОМВД России по Киреевскому району и стимулирование лучших работников органов внутренних дел.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год – Средства бюджета муниципального образования Киреевский район – 302,0 тыс. руб.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год – Средства бюджета муниципального образования Киреевский район –517,0 тыс. руб.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2015 год</w:t>
            </w:r>
            <w:r w:rsidRPr="00EB1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lang w:eastAsia="ru-RU"/>
              </w:rPr>
              <w:t> - </w:t>
            </w: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муниципального образования Киреевский район – 582,0 тыс. руб.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Ожидаемые конечные результаты реализации долгосрочной целевой программы и показатели социально-экономической эффективности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лицами в состоянии алкогольного опьянения, на 5,5%.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несовершеннолетними, на 7,5%.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лицами, ранее совершавшими преступления, на 4,7%.</w:t>
            </w:r>
          </w:p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Снижение количества преступлений, совершаемых на улицах и других общественных местах, на 9,0%.</w:t>
            </w:r>
          </w:p>
        </w:tc>
      </w:tr>
    </w:tbl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1. Содержание проблемы и обоснование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ее решения программно-целевым методом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Процессы криминализации общества носят объективный характер и основаны на социально-экономических факторах: увеличении имущественной дифференциации населения, обусловленном негативными проявлениями в экономике, криминализации хозяйственных связей, росте алкоголизма и наркомании, "правовом нигилизме" населения, низком уровне доверия к правоохранительным органам.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Несмотря на некоторое снижение общего массива зарегистрированных преступлений криминальная ситуация в Киреевском районе характеризуется как напряженная.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Правоохранительными органами принимаются все возможные усилия для удержания преступности под контролем, однако, меры, принимаемые правоохранительными органами,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Программно-целевой метод в реализации мер по противодействию преступности доказал свою эффективность на муниципальном уровне.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Анализ состояния преступности в Киреевском районе показывает, что реализация муниципальной целевой программы «Комплексные меры профилактики преступлений и иных правонарушений в Киреевском районе на 2010 - 2012 годы» способствовала оздоровлению оперативной обстановки по ряду направлений.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Данные о состоянии преступности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240"/>
        <w:gridCol w:w="2240"/>
        <w:gridCol w:w="2240"/>
      </w:tblGrid>
      <w:tr w:rsidR="00EB1100" w:rsidRPr="00EB1100" w:rsidTr="00EB110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показатели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2009 год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2010 год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 год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Общее количество зарегистрированных обращений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5349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6778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8744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Темпы снижения общего количества зарегистрированных преступлений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561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638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557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тяжких и особо тяжких преступлений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147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135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Удельный вес тяжких и особо тяжких преступлений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2,74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3,15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4,12</w:t>
            </w:r>
          </w:p>
        </w:tc>
      </w:tr>
      <w:tr w:rsidR="00EB1100" w:rsidRPr="00EB1100" w:rsidTr="00EB1100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преступлений, совершаемых на улицах и других общественных местах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100" w:rsidRPr="00EB1100" w:rsidRDefault="00EB1100" w:rsidP="00EB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EB110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135</w:t>
            </w:r>
          </w:p>
        </w:tc>
      </w:tr>
    </w:tbl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Так, в период действия программы в Киреевском районе снизилось количество совершенных тяжких и особо тяжких преступных посягательств. В 2009 году зарегистрировано 147 преступления данной категории, в 2010 году - 202, 2011 году - 135.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Однако принятых профилактических мер пока недостаточно, о чем свидетельствует остающийся высоким удельный вес тяжких и особо тяжких преступлений.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С 2009 года отмечается снижение общего массива зарегистрированных преступлений. В 2009 году зарегистрировано 561 преступлений, в 2010 году - 638, в 2011 году – 557.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На улицах и в общественных местах Киреевского района зарегистрировано в 2011 году 135 преступлений, в 2010 году – 143, 2009 году - 134.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Остаются острыми проблемы детской безнадзорности, преступности несовершеннолетних.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В 2011 году с участием несовершеннолетних совершено 22 преступления, а 2010 году - 44 преступлений, снижение составило 50,0 процента.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На криминальную обстановку также негативно влияют: незаконная миграция, большое количество преступлений, совершенных лицами без постоянного источника доходов, а также лицами, ранее совершавшими преступления.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Несовершенство систем социальной помощи и занятости ставит в трудное положение молодежь, безработных, лиц, освобожденных из мест лишения свободы, не имеющих постоянного источника дохода, способствует вовлечению их в криминальную среду.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Правоохранительная система, на которой лежит основное бремя борьбы с преступностью, испытывает трудности, связанные с </w:t>
      </w: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комплектованиемсвоих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 подразделений и недостаточным уровнем материально-</w:t>
      </w: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техническогообеспечения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. Требуют дальнейшего повышения престиж службы в полиции, а также стимулирования наиболее отличившихся сотрудников полиции, особенно – участковых уполномоченных полиции и подразделения по делам несовершеннолетних.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На фоне сложившегося социально-экономического положения прогноз количественных и качественных изменений преступности на ближайшие годы не дает оснований предположить наступления оздоровления криминальной ситуации.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В 2013 г. и последующих годах на развитие криминальной обстановки максимальное воздействие окажут экономические процессы, которые могут привести к ухудшению социального положения </w:t>
      </w: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граждан, нестабильности социально-экономической ситуации и, как следствие, к осложнению </w:t>
      </w: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оперативнойобстановки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Для стабилизации социально-политической ситуации необходимо создание эффективной системы профилактики правонарушений на местном уровне, активное взаимодействие правоохранительных органов с негосударственными структурами, общественными объединениями, населением.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За последнее пятилетие современная </w:t>
      </w:r>
      <w:proofErr w:type="gram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криминогенная ситуация</w:t>
      </w:r>
      <w:proofErr w:type="gram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 в сфере борьбы с терроризмом и экстремизмом в Российской Федерации также продолжает оставаться сложной и напряженной.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К террористическим актам, совершенным в г. Грозном, самолетах сообщения Москва - Сочи и Москва - Волгоград, у станции метро "Рижская", захвату заложников в школе г. Беслан добавились взрывы в метро "Парк Культуры" и "Лубянка", унесшие жизни 37 мирных граждан, ранено более 100 человек.</w:t>
      </w:r>
      <w:proofErr w:type="gram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 До настоящего времени продолжает оставаться сложной обстановка на Северном Кавказе. Угроза совершения террористических актов остается до настоящего времени. Необходимо учитывать, что по территории района проходит автодорога федерального значения М-4 "Дон", имеются крупные сортировочные железнодорожные станции </w:t>
      </w: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Дедилово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 и </w:t>
      </w: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Присады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, данные объекты могут стать объектами террористических посягательств.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Решению этих задач должна служить долгосрочная целевая программа «Комплексные меры профилактики преступлений и иных правонарушений в Киреевском районе на 2013 - 2015 годы».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Программа соответствует установленным приоритетам социально- экономического развития района, способствует обеспечению роста благосостояния и качества жизни населения.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Таким образом, выполнение мероприятий, предлагаемых данной Концепцией, окажет положительное влияние на все население Киреевского района.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2. Цели, задачи, основные мероприятия и сроки реализации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долгосрочной целевой Программы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Целью Программы является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Программа предусматривает решение следующих задач: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-совершенствование механизмов борьбы с пьянством, безнадзорностью, беспризорностью несовершеннолетних и </w:t>
      </w:r>
      <w:proofErr w:type="spell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ресоциализации</w:t>
      </w:r>
      <w:proofErr w:type="spell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 лиц, освободившихся из мест лишения свободы;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-предупреждение преступлений, совершаемых на улицах и в других общественных местах;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-повышение эффективности реагирования милиции на заявления и сообщения граждан о правонарушениях;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-предупреждение преступлений, совершаемых на улицах и в других общественных местах;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-повышение эффективности реагирования полиции на заявления и сообщения граждан о правонарушениях, совершенствование организации работы по раскрытию преступлений по "горячим следам", проведение комплексных оперативно-профилактических операций, направленных на предупреждение, выявление и пресечение возможных террористических актов, установление полного </w:t>
      </w:r>
      <w:proofErr w:type="gramStart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контроля за</w:t>
      </w:r>
      <w:proofErr w:type="gramEnd"/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 xml:space="preserve"> оборотом оружия, взрывчатых средств и взрывных устройств.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- разработка и реализация комплекса эффективных мер по формированию у граждан толерантного поведения и противодействия экстремизму;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- создание условий для участия граждан и их объединений в обеспечении безопасности, предупреждении и пресечении террористических проявлений;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- координация деятельности территориальных органов федеральных органов исполнительной власти и органов местного самоуправления в целях достижения согласованных действий по предупреждению, выявлению и пресечению террористических акций, а также выявлению и устранению причин и условий, способствующих подготовке и реализации террористических угроз.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1100">
        <w:rPr>
          <w:rFonts w:ascii="Times New Roman" w:eastAsia="Times New Roman" w:hAnsi="Times New Roman" w:cs="Times New Roman"/>
          <w:color w:val="052635"/>
          <w:lang w:eastAsia="ru-RU"/>
        </w:rPr>
        <w:t>Реализация мероприятий Программы рассчитана на 3 года (2013 - 2015 годы).</w:t>
      </w:r>
    </w:p>
    <w:p w:rsidR="00EB1100" w:rsidRPr="00EB1100" w:rsidRDefault="00EB1100" w:rsidP="00EB1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EB1100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Мероприятия программы </w:t>
        </w:r>
        <w:r w:rsidRPr="00EB1100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«Комплексные меры профилактики преступлений и иных правонарушений в Киреевском районе на 2013-2015 годы»</w:t>
        </w:r>
      </w:hyperlink>
    </w:p>
    <w:p w:rsidR="00510E33" w:rsidRDefault="00510E33">
      <w:bookmarkStart w:id="0" w:name="_GoBack"/>
      <w:bookmarkEnd w:id="0"/>
    </w:p>
    <w:sectPr w:rsidR="0051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72"/>
    <w:rsid w:val="00341772"/>
    <w:rsid w:val="00510E33"/>
    <w:rsid w:val="00E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100"/>
  </w:style>
  <w:style w:type="character" w:styleId="a4">
    <w:name w:val="Hyperlink"/>
    <w:basedOn w:val="a0"/>
    <w:uiPriority w:val="99"/>
    <w:semiHidden/>
    <w:unhideWhenUsed/>
    <w:rsid w:val="00EB1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100"/>
  </w:style>
  <w:style w:type="character" w:styleId="a4">
    <w:name w:val="Hyperlink"/>
    <w:basedOn w:val="a0"/>
    <w:uiPriority w:val="99"/>
    <w:semiHidden/>
    <w:unhideWhenUsed/>
    <w:rsid w:val="00EB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komissii/4678616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2016-11-17T08:09:00Z</dcterms:created>
  <dcterms:modified xsi:type="dcterms:W3CDTF">2016-11-17T08:10:00Z</dcterms:modified>
</cp:coreProperties>
</file>